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pPr w:leftFromText="141" w:rightFromText="141" w:vertAnchor="text" w:horzAnchor="margin" w:tblpXSpec="right" w:tblpY="-590"/>
        <w:tblW w:w="6779" w:type="dxa"/>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4A0" w:firstRow="1" w:lastRow="0" w:firstColumn="1" w:lastColumn="0" w:noHBand="0" w:noVBand="1"/>
      </w:tblPr>
      <w:tblGrid>
        <w:gridCol w:w="6779"/>
      </w:tblGrid>
      <w:tr w:rsidR="00BD1857" w:rsidRPr="00461173" w14:paraId="51D55732" w14:textId="77777777" w:rsidTr="00BD1857">
        <w:trPr>
          <w:trHeight w:val="540"/>
        </w:trPr>
        <w:tc>
          <w:tcPr>
            <w:tcW w:w="6779" w:type="dxa"/>
          </w:tcPr>
          <w:p w14:paraId="6BA0DFF4" w14:textId="77777777" w:rsidR="00BD1857" w:rsidRPr="0061210F" w:rsidRDefault="00BD1857" w:rsidP="00BD1857">
            <w:pPr>
              <w:jc w:val="center"/>
              <w:rPr>
                <w:rFonts w:ascii="Verdana" w:hAnsi="Verdana"/>
                <w:b/>
                <w:color w:val="95A930"/>
                <w:sz w:val="24"/>
                <w:szCs w:val="24"/>
              </w:rPr>
            </w:pPr>
            <w:r w:rsidRPr="0061210F">
              <w:rPr>
                <w:rFonts w:ascii="Verdana" w:hAnsi="Verdana"/>
                <w:b/>
                <w:color w:val="95A930"/>
                <w:sz w:val="24"/>
                <w:szCs w:val="24"/>
              </w:rPr>
              <w:t>CAP</w:t>
            </w:r>
            <w:r w:rsidR="001D13EF" w:rsidRPr="0061210F">
              <w:rPr>
                <w:rFonts w:ascii="Verdana" w:hAnsi="Verdana"/>
                <w:b/>
                <w:color w:val="95A930"/>
                <w:sz w:val="24"/>
                <w:szCs w:val="24"/>
              </w:rPr>
              <w:t xml:space="preserve"> A</w:t>
            </w:r>
            <w:r w:rsidRPr="0061210F">
              <w:rPr>
                <w:rFonts w:ascii="Verdana" w:hAnsi="Verdana"/>
                <w:b/>
                <w:color w:val="95A930"/>
                <w:sz w:val="24"/>
                <w:szCs w:val="24"/>
              </w:rPr>
              <w:t xml:space="preserve">  </w:t>
            </w:r>
            <w:r w:rsidRPr="00515C80">
              <w:rPr>
                <w:rFonts w:ascii="Verdana" w:hAnsi="Verdana"/>
                <w:b/>
                <w:sz w:val="24"/>
                <w:szCs w:val="24"/>
              </w:rPr>
              <w:sym w:font="Wingdings 2" w:char="F0A3"/>
            </w:r>
            <w:r w:rsidRPr="0061210F">
              <w:rPr>
                <w:rFonts w:ascii="Verdana" w:hAnsi="Verdana"/>
                <w:b/>
                <w:sz w:val="24"/>
                <w:szCs w:val="24"/>
              </w:rPr>
              <w:t xml:space="preserve">                </w:t>
            </w:r>
            <w:r w:rsidRPr="0061210F">
              <w:rPr>
                <w:rFonts w:ascii="Verdana" w:hAnsi="Verdana"/>
                <w:b/>
                <w:color w:val="95A930"/>
                <w:sz w:val="24"/>
                <w:szCs w:val="24"/>
              </w:rPr>
              <w:t xml:space="preserve"> CAP</w:t>
            </w:r>
            <w:r w:rsidR="001D13EF" w:rsidRPr="0061210F">
              <w:rPr>
                <w:rFonts w:ascii="Verdana" w:hAnsi="Verdana"/>
                <w:b/>
                <w:color w:val="95A930"/>
                <w:sz w:val="24"/>
                <w:szCs w:val="24"/>
              </w:rPr>
              <w:t xml:space="preserve"> B</w:t>
            </w:r>
            <w:r w:rsidRPr="0061210F">
              <w:rPr>
                <w:rFonts w:ascii="Verdana" w:hAnsi="Verdana"/>
                <w:b/>
                <w:sz w:val="24"/>
                <w:szCs w:val="24"/>
              </w:rPr>
              <w:t xml:space="preserve">  </w:t>
            </w:r>
            <w:r w:rsidRPr="00515C80">
              <w:rPr>
                <w:rFonts w:ascii="Verdana" w:hAnsi="Verdana"/>
                <w:b/>
                <w:sz w:val="24"/>
                <w:szCs w:val="24"/>
              </w:rPr>
              <w:sym w:font="Wingdings 2" w:char="F0A3"/>
            </w:r>
            <w:r w:rsidRPr="0061210F">
              <w:rPr>
                <w:rFonts w:ascii="Verdana" w:hAnsi="Verdana"/>
                <w:b/>
                <w:sz w:val="24"/>
                <w:szCs w:val="24"/>
              </w:rPr>
              <w:t xml:space="preserve">                 </w:t>
            </w:r>
            <w:r w:rsidRPr="0061210F">
              <w:rPr>
                <w:rFonts w:ascii="Verdana" w:hAnsi="Verdana"/>
                <w:b/>
                <w:color w:val="95A930"/>
                <w:sz w:val="24"/>
                <w:szCs w:val="24"/>
              </w:rPr>
              <w:t xml:space="preserve"> CAP</w:t>
            </w:r>
            <w:r w:rsidR="001D13EF" w:rsidRPr="0061210F">
              <w:rPr>
                <w:rFonts w:ascii="Verdana" w:hAnsi="Verdana"/>
                <w:b/>
                <w:color w:val="95A930"/>
                <w:sz w:val="24"/>
                <w:szCs w:val="24"/>
              </w:rPr>
              <w:t xml:space="preserve"> C</w:t>
            </w:r>
            <w:r w:rsidRPr="0061210F">
              <w:rPr>
                <w:rFonts w:ascii="Verdana" w:hAnsi="Verdana"/>
                <w:b/>
                <w:sz w:val="24"/>
                <w:szCs w:val="24"/>
              </w:rPr>
              <w:t xml:space="preserve">  </w:t>
            </w:r>
            <w:r w:rsidRPr="00515C80">
              <w:rPr>
                <w:rFonts w:ascii="Verdana" w:hAnsi="Verdana"/>
                <w:b/>
                <w:sz w:val="24"/>
                <w:szCs w:val="24"/>
              </w:rPr>
              <w:sym w:font="Wingdings 2" w:char="F0A3"/>
            </w:r>
            <w:r w:rsidRPr="0061210F">
              <w:rPr>
                <w:rFonts w:ascii="Verdana" w:hAnsi="Verdana"/>
                <w:b/>
                <w:sz w:val="24"/>
                <w:szCs w:val="24"/>
              </w:rPr>
              <w:t xml:space="preserve"> </w:t>
            </w:r>
          </w:p>
          <w:p w14:paraId="15BC75BA" w14:textId="77777777" w:rsidR="00670C7F" w:rsidRDefault="00BD1857" w:rsidP="00BD1857">
            <w:pPr>
              <w:jc w:val="center"/>
              <w:rPr>
                <w:rFonts w:ascii="Verdana" w:hAnsi="Verdana"/>
                <w:b/>
                <w:color w:val="95A930"/>
                <w:sz w:val="24"/>
                <w:szCs w:val="24"/>
              </w:rPr>
            </w:pPr>
            <w:r w:rsidRPr="00515C80">
              <w:rPr>
                <w:rFonts w:ascii="Verdana" w:hAnsi="Verdana"/>
                <w:b/>
                <w:color w:val="95A930"/>
                <w:sz w:val="24"/>
                <w:szCs w:val="24"/>
              </w:rPr>
              <w:t>Imprimé de saisine</w:t>
            </w:r>
            <w:r w:rsidR="00D46511">
              <w:rPr>
                <w:rFonts w:ascii="Verdana" w:hAnsi="Verdana"/>
                <w:b/>
                <w:color w:val="95A930"/>
                <w:sz w:val="24"/>
                <w:szCs w:val="24"/>
              </w:rPr>
              <w:t xml:space="preserve"> </w:t>
            </w:r>
          </w:p>
          <w:p w14:paraId="79FD0B34" w14:textId="77777777" w:rsidR="00BC2997" w:rsidRDefault="0054032F" w:rsidP="00BD1857">
            <w:pPr>
              <w:jc w:val="center"/>
              <w:rPr>
                <w:rFonts w:ascii="Verdana" w:hAnsi="Verdana"/>
                <w:b/>
                <w:color w:val="95A930"/>
                <w:sz w:val="24"/>
                <w:szCs w:val="24"/>
              </w:rPr>
            </w:pPr>
            <w:r>
              <w:rPr>
                <w:rFonts w:ascii="Verdana" w:hAnsi="Verdana"/>
                <w:b/>
                <w:color w:val="95A930"/>
                <w:sz w:val="24"/>
                <w:szCs w:val="24"/>
              </w:rPr>
              <w:t>A la demand</w:t>
            </w:r>
            <w:r w:rsidR="00346758">
              <w:rPr>
                <w:rFonts w:ascii="Verdana" w:hAnsi="Verdana"/>
                <w:b/>
                <w:color w:val="95A930"/>
                <w:sz w:val="24"/>
                <w:szCs w:val="24"/>
              </w:rPr>
              <w:t>e</w:t>
            </w:r>
            <w:r>
              <w:rPr>
                <w:rFonts w:ascii="Verdana" w:hAnsi="Verdana"/>
                <w:b/>
                <w:color w:val="95A930"/>
                <w:sz w:val="24"/>
                <w:szCs w:val="24"/>
              </w:rPr>
              <w:t xml:space="preserve"> de l’agent</w:t>
            </w:r>
          </w:p>
          <w:p w14:paraId="7BA3B14A" w14:textId="77777777" w:rsidR="00BC2997" w:rsidRPr="00515C80" w:rsidRDefault="00BC2997" w:rsidP="00BC2997">
            <w:pPr>
              <w:jc w:val="center"/>
              <w:rPr>
                <w:rFonts w:ascii="Verdana" w:hAnsi="Verdana"/>
                <w:b/>
                <w:sz w:val="20"/>
                <w:szCs w:val="20"/>
              </w:rPr>
            </w:pPr>
          </w:p>
        </w:tc>
      </w:tr>
    </w:tbl>
    <w:p w14:paraId="007F07FD" w14:textId="77777777" w:rsidR="00FB0D7F" w:rsidRDefault="00FB0D7F">
      <w:r>
        <w:rPr>
          <w:noProof/>
          <w:lang w:eastAsia="fr-FR"/>
        </w:rPr>
        <w:drawing>
          <wp:anchor distT="0" distB="0" distL="114300" distR="114300" simplePos="0" relativeHeight="251653632" behindDoc="1" locked="0" layoutInCell="1" allowOverlap="1" wp14:anchorId="3E2EF584" wp14:editId="2A8DA438">
            <wp:simplePos x="0" y="0"/>
            <wp:positionH relativeFrom="column">
              <wp:posOffset>-537845</wp:posOffset>
            </wp:positionH>
            <wp:positionV relativeFrom="paragraph">
              <wp:posOffset>-419735</wp:posOffset>
            </wp:positionV>
            <wp:extent cx="1800225" cy="937260"/>
            <wp:effectExtent l="19050" t="0" r="9525" b="0"/>
            <wp:wrapNone/>
            <wp:docPr id="1" name="Image 1" descr="K:\MOYENS GENERAUX\Organisation CDG\Logo Plan Charte graph\Charte graphique\Logos CDG 61\Bureautique\Logo CDG 61 p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OYENS GENERAUX\Organisation CDG\Logo Plan Charte graph\Charte graphique\Logos CDG 61\Bureautique\Logo CDG 61 petit.gif"/>
                    <pic:cNvPicPr>
                      <a:picLocks noChangeAspect="1" noChangeArrowheads="1"/>
                    </pic:cNvPicPr>
                  </pic:nvPicPr>
                  <pic:blipFill>
                    <a:blip r:embed="rId7" cstate="print"/>
                    <a:srcRect/>
                    <a:stretch>
                      <a:fillRect/>
                    </a:stretch>
                  </pic:blipFill>
                  <pic:spPr bwMode="auto">
                    <a:xfrm>
                      <a:off x="0" y="0"/>
                      <a:ext cx="1800225" cy="937260"/>
                    </a:xfrm>
                    <a:prstGeom prst="rect">
                      <a:avLst/>
                    </a:prstGeom>
                    <a:noFill/>
                    <a:ln w="9525">
                      <a:noFill/>
                      <a:miter lim="800000"/>
                      <a:headEnd/>
                      <a:tailEnd/>
                    </a:ln>
                  </pic:spPr>
                </pic:pic>
              </a:graphicData>
            </a:graphic>
          </wp:anchor>
        </w:drawing>
      </w:r>
    </w:p>
    <w:p w14:paraId="24621AD3" w14:textId="77777777" w:rsidR="00FB0D7F" w:rsidRDefault="00FB0D7F"/>
    <w:p w14:paraId="62ABE70B" w14:textId="77777777" w:rsidR="00BC2997" w:rsidRDefault="00BC2997" w:rsidP="00BC2997">
      <w:pPr>
        <w:spacing w:after="0"/>
        <w:ind w:left="-567"/>
        <w:rPr>
          <w:rFonts w:ascii="Verdana" w:eastAsia="Times New Roman" w:hAnsi="Verdana" w:cs="Arial"/>
          <w:b/>
          <w:sz w:val="18"/>
          <w:szCs w:val="18"/>
          <w:u w:val="single"/>
          <w:lang w:eastAsia="fr-FR"/>
        </w:rPr>
      </w:pPr>
      <w:r w:rsidRPr="00A014AD">
        <w:rPr>
          <w:rFonts w:ascii="Verdana" w:eastAsia="Times New Roman" w:hAnsi="Verdana" w:cs="Arial"/>
          <w:b/>
          <w:sz w:val="18"/>
          <w:szCs w:val="18"/>
          <w:u w:val="single"/>
          <w:lang w:eastAsia="fr-FR"/>
        </w:rPr>
        <w:t>Références</w:t>
      </w:r>
      <w:r>
        <w:rPr>
          <w:rFonts w:ascii="Verdana" w:eastAsia="Times New Roman" w:hAnsi="Verdana" w:cs="Arial"/>
          <w:b/>
          <w:sz w:val="18"/>
          <w:szCs w:val="18"/>
          <w:u w:val="single"/>
          <w:lang w:eastAsia="fr-FR"/>
        </w:rPr>
        <w:t xml:space="preserve"> </w:t>
      </w:r>
      <w:r w:rsidRPr="00A014AD">
        <w:rPr>
          <w:rFonts w:ascii="Verdana" w:eastAsia="Times New Roman" w:hAnsi="Verdana" w:cs="Arial"/>
          <w:b/>
          <w:sz w:val="18"/>
          <w:szCs w:val="18"/>
          <w:u w:val="single"/>
          <w:lang w:eastAsia="fr-FR"/>
        </w:rPr>
        <w:t>:</w:t>
      </w:r>
    </w:p>
    <w:p w14:paraId="77CB86E5" w14:textId="77777777" w:rsidR="00BC2997" w:rsidRPr="00BC2997" w:rsidRDefault="00BC2997" w:rsidP="00BC2997">
      <w:pPr>
        <w:spacing w:after="0"/>
        <w:ind w:left="-567"/>
      </w:pPr>
      <w:r>
        <w:t xml:space="preserve">Décret n° 2014-1526 du 16 décembre 2014 </w:t>
      </w:r>
      <w:r w:rsidRPr="00BC2997">
        <w:rPr>
          <w:bCs/>
        </w:rPr>
        <w:t>relatif à l'appréciation de la valeur professionnelle des fonctionnaires territoriaux</w:t>
      </w:r>
    </w:p>
    <w:p w14:paraId="5602E4F1" w14:textId="77777777" w:rsidR="0054032F" w:rsidRDefault="00BC2997" w:rsidP="0054032F">
      <w:pPr>
        <w:spacing w:after="0"/>
        <w:ind w:left="-567"/>
        <w:jc w:val="both"/>
        <w:rPr>
          <w:rFonts w:ascii="Verdana" w:eastAsia="Times New Roman" w:hAnsi="Verdana" w:cs="Arial"/>
          <w:b/>
          <w:sz w:val="18"/>
          <w:szCs w:val="18"/>
          <w:u w:val="single"/>
          <w:lang w:eastAsia="fr-FR"/>
        </w:rPr>
      </w:pPr>
      <w:r w:rsidRPr="00A014AD">
        <w:rPr>
          <w:rFonts w:ascii="Verdana" w:eastAsia="Times New Roman" w:hAnsi="Verdana" w:cs="Arial"/>
          <w:b/>
          <w:sz w:val="18"/>
          <w:szCs w:val="18"/>
          <w:u w:val="single"/>
          <w:lang w:eastAsia="fr-FR"/>
        </w:rPr>
        <w:t>Rappel :</w:t>
      </w:r>
    </w:p>
    <w:p w14:paraId="4815E52A" w14:textId="77777777" w:rsidR="00BC2997" w:rsidRPr="0054032F" w:rsidRDefault="0054032F" w:rsidP="00BC2997">
      <w:pPr>
        <w:spacing w:after="0"/>
        <w:ind w:left="-567"/>
        <w:jc w:val="both"/>
      </w:pPr>
      <w:r w:rsidRPr="0054032F">
        <w:t>Dans le cadre de la mise en œuvre de la loi TFP n°2019-828 du 6 août 2019 et de son décret d'application</w:t>
      </w:r>
      <w:r>
        <w:t xml:space="preserve"> </w:t>
      </w:r>
      <w:r w:rsidRPr="0054032F">
        <w:t>n° 2020-1533 du 8 décembre 2020 relatif aux commissions administratives paritaires et aux conseils de discipline de la fonction publique territoriale</w:t>
      </w:r>
      <w:r>
        <w:t xml:space="preserve">, </w:t>
      </w:r>
      <w:r w:rsidRPr="0054032F">
        <w:rPr>
          <w:bCs/>
        </w:rPr>
        <w:t>les agents peuvent saisir directement la CAP</w:t>
      </w:r>
      <w:r w:rsidRPr="0054032F">
        <w:t>.</w:t>
      </w:r>
    </w:p>
    <w:tbl>
      <w:tblPr>
        <w:tblStyle w:val="TableauGrille5Fonc-Accentuation2"/>
        <w:tblW w:w="9640" w:type="dxa"/>
        <w:tblInd w:w="-601" w:type="dxa"/>
        <w:tblLook w:val="04A0" w:firstRow="1" w:lastRow="0" w:firstColumn="1" w:lastColumn="0" w:noHBand="0" w:noVBand="1"/>
      </w:tblPr>
      <w:tblGrid>
        <w:gridCol w:w="6946"/>
        <w:gridCol w:w="2694"/>
      </w:tblGrid>
      <w:tr w:rsidR="00FB3E9D" w:rsidRPr="00CD6FA6" w14:paraId="07781A4F" w14:textId="77777777" w:rsidTr="00FB3E9D">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6946" w:type="dxa"/>
          </w:tcPr>
          <w:p w14:paraId="0B056084" w14:textId="77777777" w:rsidR="00FB3E9D" w:rsidRPr="003F67D8" w:rsidRDefault="00FB3E9D" w:rsidP="00FB3E9D">
            <w:pPr>
              <w:autoSpaceDE w:val="0"/>
              <w:autoSpaceDN w:val="0"/>
              <w:adjustRightInd w:val="0"/>
              <w:spacing w:before="120" w:after="120"/>
              <w:jc w:val="center"/>
              <w:rPr>
                <w:rFonts w:ascii="Verdana" w:hAnsi="Verdana" w:cs="MyriadPro-Regular"/>
                <w:sz w:val="20"/>
                <w:szCs w:val="20"/>
              </w:rPr>
            </w:pPr>
            <w:r w:rsidRPr="003F67D8">
              <w:rPr>
                <w:rFonts w:ascii="Verdana" w:hAnsi="Verdana" w:cs="MyriadPro-Regular"/>
                <w:sz w:val="20"/>
                <w:szCs w:val="20"/>
              </w:rPr>
              <w:t>OBJET</w:t>
            </w:r>
          </w:p>
        </w:tc>
        <w:tc>
          <w:tcPr>
            <w:tcW w:w="2694" w:type="dxa"/>
          </w:tcPr>
          <w:p w14:paraId="68545CC7" w14:textId="77777777" w:rsidR="00FB3E9D" w:rsidRPr="00CD6FA6" w:rsidRDefault="00FB3E9D" w:rsidP="00FB3E9D">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Verdana" w:hAnsi="Verdana" w:cs="MyriadPro-It"/>
                <w:sz w:val="20"/>
                <w:szCs w:val="20"/>
              </w:rPr>
            </w:pPr>
            <w:r w:rsidRPr="00CD6FA6">
              <w:rPr>
                <w:rFonts w:ascii="Verdana" w:hAnsi="Verdana" w:cs="MyriadPro-It"/>
                <w:sz w:val="20"/>
                <w:szCs w:val="20"/>
              </w:rPr>
              <w:t>REFERENCE</w:t>
            </w:r>
          </w:p>
        </w:tc>
      </w:tr>
      <w:tr w:rsidR="00FB3E9D" w:rsidRPr="00CD6FA6" w14:paraId="2A0B5A25" w14:textId="77777777" w:rsidTr="00FB3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2595FE46" w14:textId="77777777" w:rsidR="00FB3E9D" w:rsidRPr="003F67D8" w:rsidRDefault="00FB3E9D" w:rsidP="00FB3E9D">
            <w:pPr>
              <w:autoSpaceDE w:val="0"/>
              <w:autoSpaceDN w:val="0"/>
              <w:adjustRightInd w:val="0"/>
              <w:spacing w:before="120" w:after="120"/>
              <w:jc w:val="center"/>
              <w:rPr>
                <w:rFonts w:ascii="Verdana" w:hAnsi="Verdana" w:cs="MyriadPro-Regular"/>
                <w:sz w:val="18"/>
                <w:szCs w:val="18"/>
              </w:rPr>
            </w:pPr>
            <w:r w:rsidRPr="003F67D8">
              <w:rPr>
                <w:rFonts w:ascii="Verdana" w:hAnsi="Verdana" w:cs="MyriadPro-Regular"/>
                <w:sz w:val="18"/>
                <w:szCs w:val="18"/>
              </w:rPr>
              <w:t>Refus d’octroi d’un congé au titre du compte épargne temps</w:t>
            </w:r>
            <w:r>
              <w:rPr>
                <w:rFonts w:ascii="Verdana" w:hAnsi="Verdana" w:cs="MyriadPro-Regular"/>
                <w:sz w:val="18"/>
                <w:szCs w:val="18"/>
              </w:rPr>
              <w:t xml:space="preserve"> (CET)</w:t>
            </w:r>
            <w:r w:rsidRPr="003F67D8">
              <w:rPr>
                <w:rFonts w:ascii="Verdana" w:hAnsi="Verdana" w:cs="MyriadPro-Regular"/>
                <w:sz w:val="18"/>
                <w:szCs w:val="18"/>
              </w:rPr>
              <w:t xml:space="preserve"> </w:t>
            </w:r>
          </w:p>
        </w:tc>
        <w:tc>
          <w:tcPr>
            <w:tcW w:w="2694" w:type="dxa"/>
          </w:tcPr>
          <w:p w14:paraId="06489867" w14:textId="77777777" w:rsidR="00FB3E9D" w:rsidRPr="00CD6FA6" w:rsidRDefault="00FB3E9D" w:rsidP="00FB3E9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Verdana" w:hAnsi="Verdana" w:cs="MyriadPro-Regular"/>
                <w:sz w:val="20"/>
                <w:szCs w:val="20"/>
              </w:rPr>
            </w:pPr>
            <w:r w:rsidRPr="00CD6FA6">
              <w:rPr>
                <w:rFonts w:ascii="Verdana" w:hAnsi="Verdana" w:cs="MyriadPro-It"/>
                <w:i/>
                <w:iCs/>
                <w:sz w:val="16"/>
                <w:szCs w:val="16"/>
              </w:rPr>
              <w:t>- art 10 - décret 2004-875</w:t>
            </w:r>
          </w:p>
        </w:tc>
      </w:tr>
      <w:tr w:rsidR="00FB3E9D" w:rsidRPr="00CD6FA6" w14:paraId="1DA2B1D1" w14:textId="77777777" w:rsidTr="00FB3E9D">
        <w:tc>
          <w:tcPr>
            <w:cnfStyle w:val="001000000000" w:firstRow="0" w:lastRow="0" w:firstColumn="1" w:lastColumn="0" w:oddVBand="0" w:evenVBand="0" w:oddHBand="0" w:evenHBand="0" w:firstRowFirstColumn="0" w:firstRowLastColumn="0" w:lastRowFirstColumn="0" w:lastRowLastColumn="0"/>
            <w:tcW w:w="6946" w:type="dxa"/>
          </w:tcPr>
          <w:p w14:paraId="108E1629" w14:textId="77777777" w:rsidR="00FB3E9D" w:rsidRPr="003F67D8" w:rsidRDefault="00FB3E9D" w:rsidP="00FB3E9D">
            <w:pPr>
              <w:autoSpaceDE w:val="0"/>
              <w:autoSpaceDN w:val="0"/>
              <w:adjustRightInd w:val="0"/>
              <w:spacing w:before="120" w:after="120"/>
              <w:jc w:val="center"/>
              <w:rPr>
                <w:rFonts w:ascii="Verdana" w:hAnsi="Verdana" w:cs="MyriadPro-Regular"/>
                <w:b w:val="0"/>
                <w:bCs w:val="0"/>
                <w:sz w:val="18"/>
                <w:szCs w:val="18"/>
              </w:rPr>
            </w:pPr>
            <w:r w:rsidRPr="003F67D8">
              <w:rPr>
                <w:rFonts w:ascii="Verdana" w:hAnsi="Verdana" w:cs="MyriadPro-Regular"/>
                <w:sz w:val="18"/>
                <w:szCs w:val="18"/>
              </w:rPr>
              <w:t>Disponibilité (décision défavorable)</w:t>
            </w:r>
          </w:p>
          <w:p w14:paraId="35F4D8C5" w14:textId="77777777" w:rsidR="00FB3E9D" w:rsidRPr="003F67D8" w:rsidRDefault="00FB3E9D" w:rsidP="00FB3E9D">
            <w:pPr>
              <w:autoSpaceDE w:val="0"/>
              <w:autoSpaceDN w:val="0"/>
              <w:adjustRightInd w:val="0"/>
              <w:spacing w:before="120" w:after="120"/>
              <w:jc w:val="center"/>
              <w:rPr>
                <w:rFonts w:ascii="Verdana" w:hAnsi="Verdana" w:cs="Arial"/>
                <w:b w:val="0"/>
                <w:bCs w:val="0"/>
                <w:sz w:val="18"/>
                <w:szCs w:val="18"/>
              </w:rPr>
            </w:pPr>
            <w:r w:rsidRPr="003F67D8">
              <w:rPr>
                <w:rFonts w:ascii="Verdana" w:hAnsi="Verdana" w:cs="Arial"/>
                <w:sz w:val="18"/>
                <w:szCs w:val="18"/>
              </w:rPr>
              <w:t>Décisions individuelles mentionnées à l’article 72 de la loi n° 84-53 du 26/01/1984, et tout litige lié à cette position notamment :</w:t>
            </w:r>
          </w:p>
          <w:p w14:paraId="0D2CC80C" w14:textId="77777777" w:rsidR="00FB3E9D" w:rsidRPr="003F67D8" w:rsidRDefault="00FB3E9D" w:rsidP="00FB3E9D">
            <w:pPr>
              <w:autoSpaceDE w:val="0"/>
              <w:autoSpaceDN w:val="0"/>
              <w:adjustRightInd w:val="0"/>
              <w:spacing w:before="120" w:after="120"/>
              <w:jc w:val="both"/>
              <w:rPr>
                <w:rFonts w:ascii="Verdana" w:hAnsi="Verdana" w:cs="Arial"/>
                <w:b w:val="0"/>
                <w:bCs w:val="0"/>
                <w:sz w:val="18"/>
                <w:szCs w:val="18"/>
              </w:rPr>
            </w:pPr>
            <w:r w:rsidRPr="003F67D8">
              <w:rPr>
                <w:rFonts w:ascii="Verdana" w:hAnsi="Verdana" w:cs="Arial"/>
                <w:b w:val="0"/>
                <w:bCs w:val="0"/>
                <w:sz w:val="18"/>
                <w:szCs w:val="18"/>
              </w:rPr>
              <w:t>-Refus de disponibilité pour convenances personnelles, disponibilité pour études ou recherches présentant un intérêt général, disponibilité pour créer ou reprendre une entreprise, ... (tout type de disponibilité),</w:t>
            </w:r>
          </w:p>
          <w:p w14:paraId="0A033CF8" w14:textId="77777777" w:rsidR="00FB3E9D" w:rsidRPr="003F67D8" w:rsidRDefault="00FB3E9D" w:rsidP="00FB3E9D">
            <w:pPr>
              <w:autoSpaceDE w:val="0"/>
              <w:autoSpaceDN w:val="0"/>
              <w:adjustRightInd w:val="0"/>
              <w:spacing w:before="120" w:after="120"/>
              <w:jc w:val="both"/>
              <w:rPr>
                <w:rFonts w:ascii="Verdana" w:hAnsi="Verdana" w:cs="Arial"/>
                <w:sz w:val="18"/>
                <w:szCs w:val="18"/>
              </w:rPr>
            </w:pPr>
            <w:r w:rsidRPr="003F67D8">
              <w:rPr>
                <w:rFonts w:ascii="Verdana" w:hAnsi="Verdana" w:cs="Arial"/>
                <w:b w:val="0"/>
                <w:bCs w:val="0"/>
                <w:sz w:val="18"/>
                <w:szCs w:val="18"/>
              </w:rPr>
              <w:t>-Refus de réintégration après une disponibilité et maintien en disponibilité faute d’emploi vacant (après une disponibilité accordée sous réserve des nécessités du service ou après une disponibilité de droit pour l’exercice d’un mandat local ou après une disponibilité pour suivre son conjoint supérieure à 3 ans)</w:t>
            </w:r>
          </w:p>
          <w:p w14:paraId="3946A9F2" w14:textId="77777777" w:rsidR="00FB3E9D" w:rsidRPr="003F67D8" w:rsidRDefault="00FB3E9D" w:rsidP="00FB3E9D">
            <w:pPr>
              <w:autoSpaceDE w:val="0"/>
              <w:autoSpaceDN w:val="0"/>
              <w:adjustRightInd w:val="0"/>
              <w:spacing w:before="120" w:after="120"/>
              <w:jc w:val="both"/>
              <w:rPr>
                <w:rFonts w:ascii="Verdana" w:hAnsi="Verdana" w:cs="Arial"/>
                <w:b w:val="0"/>
                <w:bCs w:val="0"/>
                <w:sz w:val="18"/>
                <w:szCs w:val="18"/>
              </w:rPr>
            </w:pPr>
            <w:r w:rsidRPr="003F67D8">
              <w:rPr>
                <w:rFonts w:ascii="Verdana" w:hAnsi="Verdana" w:cs="Arial"/>
                <w:b w:val="0"/>
                <w:bCs w:val="0"/>
                <w:sz w:val="18"/>
                <w:szCs w:val="18"/>
              </w:rPr>
              <w:t xml:space="preserve">- refus des droits à avancement pendant une période de disponibilité - litige sur la nature des activités professionnelles </w:t>
            </w:r>
          </w:p>
          <w:p w14:paraId="66F27710" w14:textId="77777777" w:rsidR="00FB3E9D" w:rsidRPr="003F67D8" w:rsidRDefault="00FB3E9D" w:rsidP="00FB3E9D">
            <w:pPr>
              <w:autoSpaceDE w:val="0"/>
              <w:autoSpaceDN w:val="0"/>
              <w:adjustRightInd w:val="0"/>
              <w:spacing w:before="120" w:after="120"/>
              <w:jc w:val="both"/>
              <w:rPr>
                <w:rFonts w:ascii="Verdana" w:hAnsi="Verdana" w:cs="MyriadPro-Regular"/>
                <w:sz w:val="18"/>
                <w:szCs w:val="18"/>
              </w:rPr>
            </w:pPr>
            <w:r w:rsidRPr="003F67D8">
              <w:rPr>
                <w:rFonts w:ascii="Verdana" w:hAnsi="Verdana" w:cs="Arial"/>
                <w:b w:val="0"/>
                <w:bCs w:val="0"/>
                <w:sz w:val="18"/>
                <w:szCs w:val="18"/>
              </w:rPr>
              <w:t xml:space="preserve">- litige suite à un licenciement d’un fonctionnaire mis en disponibilité après 3 refus de postes qui lui sont proposés en vue de sa réintégration </w:t>
            </w:r>
          </w:p>
        </w:tc>
        <w:tc>
          <w:tcPr>
            <w:tcW w:w="2694" w:type="dxa"/>
          </w:tcPr>
          <w:p w14:paraId="7ECE8BF5" w14:textId="77777777" w:rsidR="00FB3E9D" w:rsidRPr="00CD6FA6" w:rsidRDefault="00FB3E9D" w:rsidP="00FB3E9D">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cs="MyriadPro-It"/>
                <w:i/>
                <w:iCs/>
                <w:sz w:val="16"/>
                <w:szCs w:val="16"/>
              </w:rPr>
            </w:pPr>
            <w:r w:rsidRPr="00CD6FA6">
              <w:rPr>
                <w:rFonts w:ascii="Verdana" w:hAnsi="Verdana" w:cs="MyriadPro-It"/>
                <w:i/>
                <w:iCs/>
                <w:sz w:val="16"/>
                <w:szCs w:val="16"/>
              </w:rPr>
              <w:t>- art 72 loi 84-53</w:t>
            </w:r>
          </w:p>
          <w:p w14:paraId="54DC2C77" w14:textId="77777777" w:rsidR="00FB3E9D" w:rsidRPr="00CD6FA6" w:rsidRDefault="00FB3E9D" w:rsidP="00FB3E9D">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cs="MyriadPro-Regular"/>
                <w:i/>
                <w:iCs/>
                <w:sz w:val="16"/>
                <w:szCs w:val="16"/>
              </w:rPr>
            </w:pPr>
            <w:r w:rsidRPr="00CD6FA6">
              <w:rPr>
                <w:rFonts w:ascii="Verdana" w:hAnsi="Verdana" w:cs="Arial"/>
                <w:i/>
                <w:iCs/>
                <w:sz w:val="16"/>
                <w:szCs w:val="16"/>
              </w:rPr>
              <w:t>Nouvel article 37-1 dans le décret n° 89-229 du 17/04/1989</w:t>
            </w:r>
          </w:p>
        </w:tc>
      </w:tr>
      <w:tr w:rsidR="00FB3E9D" w:rsidRPr="00CD6FA6" w14:paraId="34C1EDC1" w14:textId="77777777" w:rsidTr="00FB3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058C5793" w14:textId="77777777" w:rsidR="00FB3E9D" w:rsidRPr="003F67D8" w:rsidRDefault="00FB3E9D" w:rsidP="00FB3E9D">
            <w:pPr>
              <w:autoSpaceDE w:val="0"/>
              <w:autoSpaceDN w:val="0"/>
              <w:adjustRightInd w:val="0"/>
              <w:spacing w:before="120" w:after="120"/>
              <w:jc w:val="center"/>
              <w:rPr>
                <w:rFonts w:ascii="Verdana" w:hAnsi="Verdana" w:cs="MyriadPro-Regular"/>
                <w:sz w:val="18"/>
                <w:szCs w:val="18"/>
              </w:rPr>
            </w:pPr>
            <w:r w:rsidRPr="003F67D8">
              <w:rPr>
                <w:rFonts w:ascii="Verdana" w:hAnsi="Verdana" w:cs="MyriadPro-Regular"/>
                <w:sz w:val="18"/>
                <w:szCs w:val="18"/>
              </w:rPr>
              <w:t>Refus de l’acceptation de la démission d’un fonctionnaire par l’autorité territoriale</w:t>
            </w:r>
          </w:p>
        </w:tc>
        <w:tc>
          <w:tcPr>
            <w:tcW w:w="2694" w:type="dxa"/>
          </w:tcPr>
          <w:p w14:paraId="7408622A" w14:textId="77777777" w:rsidR="00FB3E9D" w:rsidRPr="00CD6FA6" w:rsidRDefault="00FB3E9D" w:rsidP="00FB3E9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Verdana" w:hAnsi="Verdana" w:cs="MyriadPro-It"/>
                <w:i/>
                <w:iCs/>
                <w:sz w:val="16"/>
                <w:szCs w:val="16"/>
              </w:rPr>
            </w:pPr>
            <w:r w:rsidRPr="00CD6FA6">
              <w:rPr>
                <w:rFonts w:ascii="Verdana" w:hAnsi="Verdana" w:cs="MyriadPro-It"/>
                <w:i/>
                <w:iCs/>
                <w:sz w:val="16"/>
                <w:szCs w:val="16"/>
              </w:rPr>
              <w:t>- art 96 loi 84-53</w:t>
            </w:r>
          </w:p>
          <w:p w14:paraId="00AAD534" w14:textId="77777777" w:rsidR="00FB3E9D" w:rsidRPr="00CD6FA6" w:rsidRDefault="00FB3E9D" w:rsidP="00FB3E9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Verdana" w:hAnsi="Verdana" w:cs="MyriadPro-Regular"/>
                <w:sz w:val="20"/>
                <w:szCs w:val="20"/>
              </w:rPr>
            </w:pPr>
            <w:r w:rsidRPr="00CD6FA6">
              <w:rPr>
                <w:rFonts w:ascii="Verdana" w:hAnsi="Verdana" w:cs="Arial"/>
                <w:i/>
                <w:iCs/>
                <w:sz w:val="16"/>
                <w:szCs w:val="16"/>
              </w:rPr>
              <w:t xml:space="preserve">-Nouvel article 37-1 dans le décret n° 89-229 </w:t>
            </w:r>
          </w:p>
        </w:tc>
      </w:tr>
      <w:tr w:rsidR="00FB3E9D" w:rsidRPr="00CD6FA6" w14:paraId="4BB90C3A" w14:textId="77777777" w:rsidTr="00FB3E9D">
        <w:tc>
          <w:tcPr>
            <w:cnfStyle w:val="001000000000" w:firstRow="0" w:lastRow="0" w:firstColumn="1" w:lastColumn="0" w:oddVBand="0" w:evenVBand="0" w:oddHBand="0" w:evenHBand="0" w:firstRowFirstColumn="0" w:firstRowLastColumn="0" w:lastRowFirstColumn="0" w:lastRowLastColumn="0"/>
            <w:tcW w:w="6946" w:type="dxa"/>
          </w:tcPr>
          <w:p w14:paraId="0ECAD1FF" w14:textId="77777777" w:rsidR="00FB3E9D" w:rsidRPr="00463B25" w:rsidRDefault="00FB3E9D" w:rsidP="00FB3E9D">
            <w:pPr>
              <w:autoSpaceDE w:val="0"/>
              <w:autoSpaceDN w:val="0"/>
              <w:adjustRightInd w:val="0"/>
              <w:spacing w:before="120" w:after="120"/>
              <w:jc w:val="center"/>
              <w:rPr>
                <w:rFonts w:ascii="Verdana" w:hAnsi="Verdana" w:cs="Arial"/>
                <w:b w:val="0"/>
                <w:bCs w:val="0"/>
                <w:sz w:val="18"/>
                <w:szCs w:val="18"/>
              </w:rPr>
            </w:pPr>
            <w:r>
              <w:rPr>
                <w:rFonts w:ascii="Verdana" w:hAnsi="Verdana" w:cs="Arial"/>
                <w:sz w:val="18"/>
                <w:szCs w:val="18"/>
              </w:rPr>
              <w:t>R</w:t>
            </w:r>
            <w:r w:rsidRPr="00463B25">
              <w:rPr>
                <w:rFonts w:ascii="Verdana" w:hAnsi="Verdana" w:cs="Arial"/>
                <w:sz w:val="18"/>
                <w:szCs w:val="18"/>
              </w:rPr>
              <w:t>efus opposé à une demande de mobilisation du C.P.F.</w:t>
            </w:r>
          </w:p>
          <w:p w14:paraId="15E6CA31" w14:textId="77777777" w:rsidR="00FB3E9D" w:rsidRPr="003F67D8" w:rsidRDefault="00FB3E9D" w:rsidP="00FB3E9D">
            <w:pPr>
              <w:autoSpaceDE w:val="0"/>
              <w:autoSpaceDN w:val="0"/>
              <w:adjustRightInd w:val="0"/>
              <w:spacing w:before="120" w:after="120"/>
              <w:jc w:val="center"/>
              <w:rPr>
                <w:rFonts w:ascii="Verdana" w:hAnsi="Verdana" w:cs="MyriadPro-Regular"/>
                <w:sz w:val="18"/>
                <w:szCs w:val="18"/>
              </w:rPr>
            </w:pPr>
            <w:r w:rsidRPr="00463B25">
              <w:rPr>
                <w:rFonts w:ascii="Verdana" w:hAnsi="Verdana" w:cs="Arial"/>
                <w:b w:val="0"/>
                <w:bCs w:val="0"/>
                <w:sz w:val="18"/>
                <w:szCs w:val="18"/>
              </w:rPr>
              <w:t>L’administration ne peut s’opposer à une demande de formation relevant du socle de connaissances et compétences mentionné à l’article L. 6121-2 du code du travail.</w:t>
            </w:r>
            <w:r>
              <w:rPr>
                <w:rFonts w:ascii="Verdana" w:hAnsi="Verdana" w:cs="Arial"/>
                <w:b w:val="0"/>
                <w:bCs w:val="0"/>
                <w:sz w:val="18"/>
                <w:szCs w:val="18"/>
              </w:rPr>
              <w:t xml:space="preserve"> </w:t>
            </w:r>
            <w:r w:rsidRPr="00463B25">
              <w:rPr>
                <w:rFonts w:ascii="Verdana" w:hAnsi="Verdana" w:cs="Arial"/>
                <w:b w:val="0"/>
                <w:bCs w:val="0"/>
                <w:sz w:val="18"/>
                <w:szCs w:val="18"/>
              </w:rPr>
              <w:t>Le cas échéant, le bénéfice de cette formation peut être différé dans l’année qui suit la demande. Si une demande de mobilisation du C.P.F. présentée par un fonctionnaire a été refusée pendant deux années consécutives, le rejet d’une troisième demande portant sur une action de formation de même nature ne peut être prononcé par l’autorité compétente qu’après avis de la C.A.P.</w:t>
            </w:r>
          </w:p>
        </w:tc>
        <w:tc>
          <w:tcPr>
            <w:tcW w:w="2694" w:type="dxa"/>
          </w:tcPr>
          <w:p w14:paraId="51E76B84" w14:textId="77777777" w:rsidR="00FB3E9D" w:rsidRPr="00CD6FA6" w:rsidRDefault="00FB3E9D" w:rsidP="00FB3E9D">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cs="MyriadPro-It"/>
                <w:i/>
                <w:iCs/>
                <w:sz w:val="16"/>
                <w:szCs w:val="16"/>
              </w:rPr>
            </w:pPr>
            <w:r w:rsidRPr="00CD6FA6">
              <w:rPr>
                <w:rFonts w:ascii="Verdana" w:hAnsi="Verdana" w:cs="MyriadPro-It"/>
                <w:i/>
                <w:iCs/>
                <w:sz w:val="16"/>
                <w:szCs w:val="16"/>
              </w:rPr>
              <w:t>- art 22 quater loi 83-634 et art 2-1 loi 84-594</w:t>
            </w:r>
          </w:p>
          <w:p w14:paraId="36148181" w14:textId="77777777" w:rsidR="00FB3E9D" w:rsidRPr="00CD6FA6" w:rsidRDefault="00FB3E9D" w:rsidP="00FB3E9D">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cs="MyriadPro-It"/>
                <w:i/>
                <w:iCs/>
                <w:sz w:val="16"/>
                <w:szCs w:val="16"/>
              </w:rPr>
            </w:pPr>
          </w:p>
        </w:tc>
      </w:tr>
      <w:tr w:rsidR="00FB3E9D" w:rsidRPr="00CD6FA6" w14:paraId="45022C3C" w14:textId="77777777" w:rsidTr="00FB3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1516E929" w14:textId="77777777" w:rsidR="00FB3E9D" w:rsidRPr="003F67D8" w:rsidRDefault="00FB3E9D" w:rsidP="00FB3E9D">
            <w:pPr>
              <w:autoSpaceDE w:val="0"/>
              <w:autoSpaceDN w:val="0"/>
              <w:adjustRightInd w:val="0"/>
              <w:spacing w:before="120" w:after="120"/>
              <w:jc w:val="center"/>
              <w:rPr>
                <w:rFonts w:ascii="Verdana" w:hAnsi="Verdana" w:cs="MyriadPro-Regular"/>
                <w:sz w:val="18"/>
                <w:szCs w:val="18"/>
              </w:rPr>
            </w:pPr>
            <w:r w:rsidRPr="003F67D8">
              <w:rPr>
                <w:rFonts w:ascii="Verdana" w:hAnsi="Verdana" w:cs="MyriadPro-Regular"/>
                <w:sz w:val="18"/>
                <w:szCs w:val="18"/>
              </w:rPr>
              <w:t>Révision du compte rendu de l‘entretien professionnel</w:t>
            </w:r>
          </w:p>
        </w:tc>
        <w:tc>
          <w:tcPr>
            <w:tcW w:w="2694" w:type="dxa"/>
          </w:tcPr>
          <w:p w14:paraId="2AFB8670" w14:textId="77777777" w:rsidR="00FB3E9D" w:rsidRPr="00CD6FA6" w:rsidRDefault="00FB3E9D" w:rsidP="00FB3E9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Verdana" w:hAnsi="Verdana" w:cs="MyriadPro-It"/>
                <w:i/>
                <w:iCs/>
                <w:sz w:val="16"/>
                <w:szCs w:val="16"/>
              </w:rPr>
            </w:pPr>
            <w:r w:rsidRPr="00CD6FA6">
              <w:rPr>
                <w:rFonts w:ascii="Verdana" w:hAnsi="Verdana" w:cs="MyriadPro-It"/>
                <w:i/>
                <w:iCs/>
                <w:sz w:val="16"/>
                <w:szCs w:val="16"/>
              </w:rPr>
              <w:t>- art 76 loi 54-53</w:t>
            </w:r>
          </w:p>
          <w:p w14:paraId="0E61478A" w14:textId="77777777" w:rsidR="00FB3E9D" w:rsidRPr="00CD6FA6" w:rsidRDefault="00FB3E9D" w:rsidP="00FB3E9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Verdana" w:hAnsi="Verdana" w:cs="MyriadPro-It"/>
                <w:i/>
                <w:iCs/>
                <w:sz w:val="16"/>
                <w:szCs w:val="16"/>
              </w:rPr>
            </w:pPr>
            <w:r w:rsidRPr="00CD6FA6">
              <w:rPr>
                <w:rFonts w:ascii="Verdana" w:hAnsi="Verdana" w:cs="Arial"/>
                <w:i/>
                <w:iCs/>
                <w:sz w:val="16"/>
                <w:szCs w:val="16"/>
              </w:rPr>
              <w:t xml:space="preserve">-Nouvel article 37-1 </w:t>
            </w:r>
            <w:r>
              <w:rPr>
                <w:rFonts w:ascii="Verdana" w:hAnsi="Verdana" w:cs="Arial"/>
                <w:i/>
                <w:iCs/>
                <w:sz w:val="16"/>
                <w:szCs w:val="16"/>
              </w:rPr>
              <w:t>du</w:t>
            </w:r>
            <w:r w:rsidRPr="00CD6FA6">
              <w:rPr>
                <w:rFonts w:ascii="Verdana" w:hAnsi="Verdana" w:cs="Arial"/>
                <w:i/>
                <w:iCs/>
                <w:sz w:val="16"/>
                <w:szCs w:val="16"/>
              </w:rPr>
              <w:t xml:space="preserve"> décret n° 89-229 </w:t>
            </w:r>
          </w:p>
        </w:tc>
      </w:tr>
      <w:tr w:rsidR="00FB3E9D" w:rsidRPr="00CD6FA6" w14:paraId="662869A2" w14:textId="77777777" w:rsidTr="00FB3E9D">
        <w:tc>
          <w:tcPr>
            <w:cnfStyle w:val="001000000000" w:firstRow="0" w:lastRow="0" w:firstColumn="1" w:lastColumn="0" w:oddVBand="0" w:evenVBand="0" w:oddHBand="0" w:evenHBand="0" w:firstRowFirstColumn="0" w:firstRowLastColumn="0" w:lastRowFirstColumn="0" w:lastRowLastColumn="0"/>
            <w:tcW w:w="6946" w:type="dxa"/>
          </w:tcPr>
          <w:p w14:paraId="7F67CEFD" w14:textId="77777777" w:rsidR="00FB3E9D" w:rsidRPr="003F67D8" w:rsidRDefault="00FB3E9D" w:rsidP="00FB3E9D">
            <w:pPr>
              <w:autoSpaceDE w:val="0"/>
              <w:autoSpaceDN w:val="0"/>
              <w:adjustRightInd w:val="0"/>
              <w:spacing w:before="120" w:after="120"/>
              <w:jc w:val="center"/>
              <w:rPr>
                <w:rFonts w:ascii="Verdana" w:hAnsi="Verdana" w:cs="MyriadPro-Regular"/>
                <w:sz w:val="18"/>
                <w:szCs w:val="18"/>
              </w:rPr>
            </w:pPr>
            <w:r>
              <w:rPr>
                <w:rFonts w:ascii="Verdana" w:hAnsi="Verdana" w:cs="MyriadPro-Regular"/>
                <w:sz w:val="18"/>
                <w:szCs w:val="18"/>
              </w:rPr>
              <w:t>R</w:t>
            </w:r>
            <w:r w:rsidRPr="003F67D8">
              <w:rPr>
                <w:rFonts w:ascii="Verdana" w:hAnsi="Verdana" w:cs="MyriadPro-Regular"/>
                <w:sz w:val="18"/>
                <w:szCs w:val="18"/>
              </w:rPr>
              <w:t xml:space="preserve">efus ou litiges relatifs au télétravail ou renouvellement de télétravail, </w:t>
            </w:r>
          </w:p>
        </w:tc>
        <w:tc>
          <w:tcPr>
            <w:tcW w:w="2694" w:type="dxa"/>
          </w:tcPr>
          <w:p w14:paraId="4C7CADE8" w14:textId="77777777" w:rsidR="00FB3E9D" w:rsidRPr="00CD6FA6" w:rsidRDefault="00FB3E9D" w:rsidP="00FB3E9D">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cs="MyriadPro-It"/>
                <w:i/>
                <w:iCs/>
                <w:sz w:val="16"/>
                <w:szCs w:val="16"/>
              </w:rPr>
            </w:pPr>
            <w:r w:rsidRPr="00CD6FA6">
              <w:rPr>
                <w:rFonts w:ascii="Verdana" w:hAnsi="Verdana" w:cs="MyriadPro-It"/>
                <w:i/>
                <w:iCs/>
                <w:sz w:val="16"/>
                <w:szCs w:val="16"/>
              </w:rPr>
              <w:t>- art 5 du décret 2016-151</w:t>
            </w:r>
          </w:p>
        </w:tc>
      </w:tr>
      <w:tr w:rsidR="00FB3E9D" w:rsidRPr="00CD6FA6" w14:paraId="01939997" w14:textId="77777777" w:rsidTr="00FB3E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46" w:type="dxa"/>
          </w:tcPr>
          <w:p w14:paraId="37694937" w14:textId="77777777" w:rsidR="00FB3E9D" w:rsidRPr="003F67D8" w:rsidRDefault="00FB3E9D" w:rsidP="00FB3E9D">
            <w:pPr>
              <w:autoSpaceDE w:val="0"/>
              <w:autoSpaceDN w:val="0"/>
              <w:adjustRightInd w:val="0"/>
              <w:spacing w:before="120" w:after="120"/>
              <w:jc w:val="center"/>
              <w:rPr>
                <w:rFonts w:ascii="Verdana" w:hAnsi="Verdana" w:cs="MyriadPro-Regular"/>
                <w:sz w:val="18"/>
                <w:szCs w:val="18"/>
              </w:rPr>
            </w:pPr>
            <w:r>
              <w:rPr>
                <w:rFonts w:ascii="Verdana" w:hAnsi="Verdana" w:cs="MyriadPro-Regular"/>
                <w:sz w:val="18"/>
                <w:szCs w:val="18"/>
              </w:rPr>
              <w:t>R</w:t>
            </w:r>
            <w:r w:rsidRPr="003F67D8">
              <w:rPr>
                <w:rFonts w:ascii="Verdana" w:hAnsi="Verdana" w:cs="MyriadPro-Regular"/>
                <w:sz w:val="18"/>
                <w:szCs w:val="18"/>
              </w:rPr>
              <w:t xml:space="preserve">efus ou litiges relatifs au temps partiel sur autorisation </w:t>
            </w:r>
          </w:p>
        </w:tc>
        <w:tc>
          <w:tcPr>
            <w:tcW w:w="2694" w:type="dxa"/>
          </w:tcPr>
          <w:p w14:paraId="5D2A82E5" w14:textId="77777777" w:rsidR="00FB3E9D" w:rsidRPr="00CD6FA6" w:rsidRDefault="00FB3E9D" w:rsidP="00FB3E9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Verdana" w:hAnsi="Verdana" w:cs="MyriadPro-Regular"/>
                <w:sz w:val="20"/>
                <w:szCs w:val="20"/>
              </w:rPr>
            </w:pPr>
            <w:r w:rsidRPr="00CD6FA6">
              <w:rPr>
                <w:rFonts w:ascii="Verdana" w:hAnsi="Verdana" w:cs="MyriadPro-It"/>
                <w:i/>
                <w:iCs/>
                <w:sz w:val="16"/>
                <w:szCs w:val="16"/>
              </w:rPr>
              <w:t>- art 60 loi 84-53</w:t>
            </w:r>
          </w:p>
          <w:p w14:paraId="42EC62B5" w14:textId="77777777" w:rsidR="00FB3E9D" w:rsidRPr="00CD6FA6" w:rsidRDefault="00FB3E9D" w:rsidP="00FB3E9D">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Verdana" w:hAnsi="Verdana" w:cs="MyriadPro-It"/>
                <w:i/>
                <w:iCs/>
                <w:sz w:val="16"/>
                <w:szCs w:val="16"/>
              </w:rPr>
            </w:pPr>
          </w:p>
        </w:tc>
      </w:tr>
    </w:tbl>
    <w:p w14:paraId="1677F58C" w14:textId="77777777" w:rsidR="007E2115" w:rsidRDefault="007E2115" w:rsidP="00BC2997">
      <w:pPr>
        <w:spacing w:after="0"/>
        <w:ind w:left="-567"/>
        <w:jc w:val="both"/>
      </w:pPr>
    </w:p>
    <w:p w14:paraId="1313BE7A" w14:textId="77777777" w:rsidR="007E2115" w:rsidRDefault="007E2115">
      <w:r>
        <w:br w:type="page"/>
      </w:r>
    </w:p>
    <w:p w14:paraId="777EF94A" w14:textId="77777777" w:rsidR="0054032F" w:rsidRDefault="0054032F" w:rsidP="00BC2997">
      <w:pPr>
        <w:spacing w:after="0"/>
        <w:ind w:left="-567"/>
        <w:jc w:val="both"/>
      </w:pPr>
    </w:p>
    <w:p w14:paraId="5D2E7F75" w14:textId="77777777" w:rsidR="00BC2997" w:rsidRDefault="00BC2997" w:rsidP="00BC2997">
      <w:pPr>
        <w:tabs>
          <w:tab w:val="left" w:leader="underscore" w:pos="9639"/>
        </w:tabs>
        <w:rPr>
          <w:rFonts w:ascii="Verdana" w:hAnsi="Verdana"/>
          <w:sz w:val="20"/>
          <w:szCs w:val="20"/>
        </w:rPr>
      </w:pPr>
      <w:r>
        <w:rPr>
          <w:rFonts w:ascii="Verdana" w:hAnsi="Verdana"/>
          <w:b/>
          <w:sz w:val="20"/>
          <w:szCs w:val="20"/>
          <w:u w:val="single"/>
        </w:rPr>
        <w:t>Agent :</w:t>
      </w:r>
    </w:p>
    <w:p w14:paraId="5BDC9F91" w14:textId="77777777" w:rsidR="00BC2997" w:rsidRPr="00515C80" w:rsidRDefault="00BC2997" w:rsidP="00BC2997">
      <w:pPr>
        <w:tabs>
          <w:tab w:val="left" w:leader="underscore" w:pos="9639"/>
        </w:tabs>
        <w:rPr>
          <w:rFonts w:ascii="Verdana" w:hAnsi="Verdana"/>
          <w:sz w:val="20"/>
          <w:szCs w:val="20"/>
        </w:rPr>
      </w:pPr>
      <w:r w:rsidRPr="00515C80">
        <w:rPr>
          <w:rFonts w:ascii="Verdana" w:hAnsi="Verdana"/>
          <w:sz w:val="20"/>
          <w:szCs w:val="20"/>
        </w:rPr>
        <w:t xml:space="preserve">Nom et Prénom de l'agent : </w:t>
      </w:r>
      <w:r w:rsidRPr="00515C80">
        <w:rPr>
          <w:rFonts w:ascii="Verdana" w:hAnsi="Verdana"/>
          <w:sz w:val="20"/>
          <w:szCs w:val="20"/>
        </w:rPr>
        <w:tab/>
      </w:r>
    </w:p>
    <w:p w14:paraId="39E26561" w14:textId="77777777" w:rsidR="00BC2997" w:rsidRPr="00515C80" w:rsidRDefault="00BC2997" w:rsidP="00BC2997">
      <w:pPr>
        <w:tabs>
          <w:tab w:val="left" w:leader="underscore" w:pos="9639"/>
        </w:tabs>
        <w:rPr>
          <w:rFonts w:ascii="Verdana" w:hAnsi="Verdana"/>
          <w:sz w:val="20"/>
          <w:szCs w:val="20"/>
        </w:rPr>
      </w:pPr>
      <w:r>
        <w:rPr>
          <w:rFonts w:ascii="Verdana" w:hAnsi="Verdana"/>
          <w:sz w:val="20"/>
          <w:szCs w:val="20"/>
        </w:rPr>
        <w:t>Statut</w:t>
      </w:r>
      <w:r w:rsidRPr="00515C80">
        <w:rPr>
          <w:rFonts w:ascii="Verdana" w:hAnsi="Verdana"/>
          <w:sz w:val="20"/>
          <w:szCs w:val="20"/>
        </w:rPr>
        <w:t xml:space="preserve"> actuel de l'agent : </w:t>
      </w:r>
      <w:r w:rsidRPr="00515C80">
        <w:rPr>
          <w:rFonts w:ascii="Verdana" w:hAnsi="Verdana"/>
          <w:sz w:val="20"/>
          <w:szCs w:val="20"/>
        </w:rPr>
        <w:sym w:font="Wingdings 2" w:char="F0A3"/>
      </w:r>
      <w:r w:rsidRPr="00515C80">
        <w:rPr>
          <w:rFonts w:ascii="Verdana" w:hAnsi="Verdana"/>
          <w:sz w:val="20"/>
          <w:szCs w:val="20"/>
        </w:rPr>
        <w:t xml:space="preserve"> titulaire  </w:t>
      </w:r>
      <w:r w:rsidRPr="00515C80">
        <w:rPr>
          <w:rFonts w:ascii="Verdana" w:hAnsi="Verdana"/>
          <w:sz w:val="20"/>
          <w:szCs w:val="20"/>
        </w:rPr>
        <w:sym w:font="Wingdings 2" w:char="F0A3"/>
      </w:r>
      <w:r w:rsidRPr="00515C80">
        <w:rPr>
          <w:rFonts w:ascii="Verdana" w:hAnsi="Verdana"/>
          <w:sz w:val="20"/>
          <w:szCs w:val="20"/>
        </w:rPr>
        <w:t xml:space="preserve"> stagiaire </w:t>
      </w:r>
    </w:p>
    <w:p w14:paraId="3D57FCB3" w14:textId="77777777" w:rsidR="003D1ED7" w:rsidRDefault="003D1ED7" w:rsidP="00BC2997">
      <w:pPr>
        <w:tabs>
          <w:tab w:val="left" w:leader="underscore" w:pos="4536"/>
          <w:tab w:val="left" w:pos="9356"/>
        </w:tabs>
        <w:rPr>
          <w:rFonts w:ascii="Verdana" w:hAnsi="Verdana"/>
          <w:sz w:val="20"/>
          <w:szCs w:val="20"/>
        </w:rPr>
      </w:pPr>
      <w:r>
        <w:rPr>
          <w:rFonts w:ascii="Verdana" w:hAnsi="Verdana"/>
          <w:sz w:val="20"/>
          <w:szCs w:val="20"/>
        </w:rPr>
        <w:t>Adresse personnelle :</w:t>
      </w:r>
      <w:r>
        <w:rPr>
          <w:rFonts w:ascii="Verdana" w:hAnsi="Verdana"/>
          <w:sz w:val="20"/>
          <w:szCs w:val="20"/>
        </w:rPr>
        <w:tab/>
      </w:r>
      <w:r w:rsidRPr="00BC2997">
        <w:rPr>
          <w:rFonts w:ascii="Verdana" w:hAnsi="Verdana"/>
          <w:sz w:val="20"/>
          <w:szCs w:val="20"/>
          <w:u w:val="single"/>
        </w:rPr>
        <w:tab/>
      </w:r>
    </w:p>
    <w:p w14:paraId="73863D49" w14:textId="77777777" w:rsidR="003D1ED7" w:rsidRDefault="003D1ED7" w:rsidP="00BC2997">
      <w:pPr>
        <w:tabs>
          <w:tab w:val="left" w:leader="underscore" w:pos="4536"/>
          <w:tab w:val="left" w:pos="9356"/>
        </w:tabs>
        <w:rPr>
          <w:rFonts w:ascii="Verdana" w:hAnsi="Verdana"/>
          <w:sz w:val="20"/>
          <w:szCs w:val="20"/>
        </w:rPr>
      </w:pPr>
      <w:r>
        <w:rPr>
          <w:rFonts w:ascii="Verdana" w:hAnsi="Verdana"/>
          <w:sz w:val="20"/>
          <w:szCs w:val="20"/>
        </w:rPr>
        <w:t>Mail :</w:t>
      </w:r>
      <w:r>
        <w:rPr>
          <w:rFonts w:ascii="Verdana" w:hAnsi="Verdana"/>
          <w:sz w:val="20"/>
          <w:szCs w:val="20"/>
        </w:rPr>
        <w:tab/>
        <w:t>Téléphone :</w:t>
      </w:r>
      <w:r w:rsidRPr="003D1ED7">
        <w:rPr>
          <w:rFonts w:ascii="Verdana" w:hAnsi="Verdana"/>
          <w:sz w:val="20"/>
          <w:szCs w:val="20"/>
          <w:u w:val="single"/>
        </w:rPr>
        <w:t xml:space="preserve"> </w:t>
      </w:r>
      <w:r w:rsidRPr="00BC2997">
        <w:rPr>
          <w:rFonts w:ascii="Verdana" w:hAnsi="Verdana"/>
          <w:sz w:val="20"/>
          <w:szCs w:val="20"/>
          <w:u w:val="single"/>
        </w:rPr>
        <w:tab/>
      </w:r>
    </w:p>
    <w:p w14:paraId="7FEA06B0" w14:textId="77777777" w:rsidR="00BC2997" w:rsidRDefault="00BC2997" w:rsidP="00BC2997">
      <w:pPr>
        <w:tabs>
          <w:tab w:val="left" w:leader="underscore" w:pos="4536"/>
          <w:tab w:val="left" w:pos="9356"/>
        </w:tabs>
        <w:rPr>
          <w:rFonts w:ascii="Verdana" w:hAnsi="Verdana"/>
          <w:sz w:val="20"/>
          <w:szCs w:val="20"/>
        </w:rPr>
      </w:pPr>
      <w:r w:rsidRPr="00515C80">
        <w:rPr>
          <w:rFonts w:ascii="Verdana" w:hAnsi="Verdana"/>
          <w:sz w:val="20"/>
          <w:szCs w:val="20"/>
        </w:rPr>
        <w:t xml:space="preserve">Grade : </w:t>
      </w:r>
      <w:r w:rsidRPr="00515C80">
        <w:rPr>
          <w:rFonts w:ascii="Verdana" w:hAnsi="Verdana"/>
          <w:sz w:val="20"/>
          <w:szCs w:val="20"/>
        </w:rPr>
        <w:tab/>
        <w:t xml:space="preserve">Echelon : </w:t>
      </w:r>
      <w:r w:rsidRPr="00BC2997">
        <w:rPr>
          <w:rFonts w:ascii="Verdana" w:hAnsi="Verdana"/>
          <w:sz w:val="20"/>
          <w:szCs w:val="20"/>
          <w:u w:val="single"/>
        </w:rPr>
        <w:tab/>
      </w:r>
    </w:p>
    <w:p w14:paraId="500F80CD" w14:textId="77777777" w:rsidR="00BC2997" w:rsidRDefault="00BC2997" w:rsidP="00BC2997">
      <w:pPr>
        <w:tabs>
          <w:tab w:val="left" w:leader="underscore" w:pos="4536"/>
          <w:tab w:val="left" w:leader="underscore" w:pos="9639"/>
        </w:tabs>
        <w:rPr>
          <w:rFonts w:ascii="Verdana" w:hAnsi="Verdana"/>
          <w:sz w:val="20"/>
          <w:szCs w:val="20"/>
        </w:rPr>
      </w:pPr>
      <w:r>
        <w:rPr>
          <w:rFonts w:ascii="Verdana" w:hAnsi="Verdana"/>
          <w:sz w:val="20"/>
          <w:szCs w:val="20"/>
        </w:rPr>
        <w:t>Service :</w:t>
      </w:r>
      <w:r>
        <w:rPr>
          <w:rFonts w:ascii="Verdana" w:hAnsi="Verdana"/>
          <w:sz w:val="20"/>
          <w:szCs w:val="20"/>
        </w:rPr>
        <w:tab/>
      </w:r>
      <w:r>
        <w:rPr>
          <w:rFonts w:ascii="Verdana" w:hAnsi="Verdana"/>
          <w:sz w:val="20"/>
          <w:szCs w:val="20"/>
        </w:rPr>
        <w:tab/>
      </w:r>
    </w:p>
    <w:p w14:paraId="7DCD23D7" w14:textId="77777777" w:rsidR="00BC2997" w:rsidRPr="00515C80" w:rsidRDefault="00BC2997" w:rsidP="00BC2997">
      <w:pPr>
        <w:tabs>
          <w:tab w:val="left" w:leader="underscore" w:pos="4536"/>
          <w:tab w:val="left" w:leader="underscore" w:pos="9639"/>
        </w:tabs>
        <w:rPr>
          <w:rFonts w:ascii="Verdana" w:hAnsi="Verdana"/>
          <w:sz w:val="20"/>
          <w:szCs w:val="20"/>
        </w:rPr>
      </w:pPr>
      <w:r>
        <w:rPr>
          <w:rFonts w:ascii="Verdana" w:hAnsi="Verdana"/>
          <w:sz w:val="20"/>
          <w:szCs w:val="20"/>
        </w:rPr>
        <w:t xml:space="preserve">Intitulé des fonctions : </w:t>
      </w:r>
      <w:r>
        <w:rPr>
          <w:rFonts w:ascii="Verdana" w:hAnsi="Verdana"/>
          <w:sz w:val="20"/>
          <w:szCs w:val="20"/>
        </w:rPr>
        <w:tab/>
      </w:r>
      <w:r>
        <w:rPr>
          <w:rFonts w:ascii="Verdana" w:hAnsi="Verdana"/>
          <w:sz w:val="20"/>
          <w:szCs w:val="20"/>
        </w:rPr>
        <w:tab/>
      </w:r>
    </w:p>
    <w:p w14:paraId="41E4FA79" w14:textId="77777777" w:rsidR="003D1ED7" w:rsidRDefault="003D1ED7" w:rsidP="003D1ED7">
      <w:pPr>
        <w:tabs>
          <w:tab w:val="left" w:leader="underscore" w:pos="8505"/>
        </w:tabs>
        <w:rPr>
          <w:rFonts w:ascii="Verdana" w:hAnsi="Verdana"/>
          <w:sz w:val="20"/>
          <w:szCs w:val="20"/>
        </w:rPr>
      </w:pPr>
      <w:r>
        <w:rPr>
          <w:rFonts w:ascii="Verdana" w:hAnsi="Verdana"/>
          <w:b/>
          <w:sz w:val="20"/>
          <w:szCs w:val="20"/>
          <w:u w:val="single"/>
        </w:rPr>
        <w:t>Collectivité :</w:t>
      </w:r>
    </w:p>
    <w:p w14:paraId="0869C81B" w14:textId="77777777" w:rsidR="003D1ED7" w:rsidRPr="00515C80" w:rsidRDefault="003D1ED7" w:rsidP="003D1ED7">
      <w:pPr>
        <w:tabs>
          <w:tab w:val="left" w:leader="underscore" w:pos="9639"/>
        </w:tabs>
        <w:rPr>
          <w:rFonts w:ascii="Verdana" w:hAnsi="Verdana"/>
          <w:sz w:val="20"/>
          <w:szCs w:val="20"/>
        </w:rPr>
      </w:pPr>
      <w:r>
        <w:rPr>
          <w:rFonts w:ascii="Verdana" w:hAnsi="Verdana"/>
          <w:sz w:val="20"/>
          <w:szCs w:val="20"/>
        </w:rPr>
        <w:t>C</w:t>
      </w:r>
      <w:r w:rsidRPr="00515C80">
        <w:rPr>
          <w:rFonts w:ascii="Verdana" w:hAnsi="Verdana"/>
          <w:sz w:val="20"/>
          <w:szCs w:val="20"/>
        </w:rPr>
        <w:t>ollectivité</w:t>
      </w:r>
      <w:r>
        <w:rPr>
          <w:rFonts w:ascii="Verdana" w:hAnsi="Verdana"/>
          <w:sz w:val="20"/>
          <w:szCs w:val="20"/>
        </w:rPr>
        <w:t xml:space="preserve"> et coordonnées</w:t>
      </w:r>
      <w:r w:rsidRPr="00515C80">
        <w:rPr>
          <w:rFonts w:ascii="Verdana" w:hAnsi="Verdana"/>
          <w:sz w:val="20"/>
          <w:szCs w:val="20"/>
        </w:rPr>
        <w:t xml:space="preserve"> : </w:t>
      </w:r>
      <w:r w:rsidRPr="00515C80">
        <w:rPr>
          <w:rFonts w:ascii="Verdana" w:hAnsi="Verdana"/>
          <w:sz w:val="20"/>
          <w:szCs w:val="20"/>
        </w:rPr>
        <w:tab/>
      </w:r>
    </w:p>
    <w:p w14:paraId="5D2E669C" w14:textId="77777777" w:rsidR="003D1ED7" w:rsidRPr="00515C80" w:rsidRDefault="003D1ED7" w:rsidP="003D1ED7">
      <w:pPr>
        <w:tabs>
          <w:tab w:val="left" w:leader="underscore" w:pos="9639"/>
        </w:tabs>
        <w:rPr>
          <w:rFonts w:ascii="Verdana" w:hAnsi="Verdana"/>
          <w:sz w:val="20"/>
          <w:szCs w:val="20"/>
        </w:rPr>
      </w:pPr>
      <w:r w:rsidRPr="00515C80">
        <w:rPr>
          <w:rFonts w:ascii="Verdana" w:hAnsi="Verdana"/>
          <w:sz w:val="20"/>
          <w:szCs w:val="20"/>
        </w:rPr>
        <w:t>Personne en charge du dossier</w:t>
      </w:r>
      <w:r>
        <w:rPr>
          <w:rFonts w:ascii="Verdana" w:hAnsi="Verdana"/>
          <w:sz w:val="20"/>
          <w:szCs w:val="20"/>
        </w:rPr>
        <w:t xml:space="preserve">, éventuellement </w:t>
      </w:r>
      <w:r w:rsidRPr="00515C80">
        <w:rPr>
          <w:rFonts w:ascii="Verdana" w:hAnsi="Verdana"/>
          <w:sz w:val="20"/>
          <w:szCs w:val="20"/>
        </w:rPr>
        <w:t xml:space="preserve">: </w:t>
      </w:r>
      <w:r w:rsidRPr="00515C80">
        <w:rPr>
          <w:rFonts w:ascii="Verdana" w:hAnsi="Verdana"/>
          <w:sz w:val="20"/>
          <w:szCs w:val="20"/>
        </w:rPr>
        <w:tab/>
      </w:r>
    </w:p>
    <w:p w14:paraId="58234E5B" w14:textId="77777777" w:rsidR="00BC2997" w:rsidRPr="00BC2997" w:rsidRDefault="0054032F" w:rsidP="00BC2997">
      <w:pPr>
        <w:tabs>
          <w:tab w:val="left" w:leader="underscore" w:pos="8505"/>
        </w:tabs>
        <w:rPr>
          <w:rFonts w:ascii="Verdana" w:hAnsi="Verdana"/>
          <w:b/>
          <w:sz w:val="20"/>
          <w:szCs w:val="20"/>
          <w:u w:val="single"/>
        </w:rPr>
      </w:pPr>
      <w:r>
        <w:rPr>
          <w:rFonts w:ascii="Verdana" w:hAnsi="Verdana"/>
          <w:b/>
          <w:sz w:val="20"/>
          <w:szCs w:val="20"/>
          <w:u w:val="single"/>
        </w:rPr>
        <w:t>Motif de saisine</w:t>
      </w:r>
      <w:r w:rsidR="00BC2997" w:rsidRPr="00BC2997">
        <w:rPr>
          <w:rFonts w:ascii="Verdana" w:hAnsi="Verdana"/>
          <w:b/>
          <w:sz w:val="20"/>
          <w:szCs w:val="20"/>
          <w:u w:val="single"/>
        </w:rPr>
        <w:t> :</w:t>
      </w:r>
    </w:p>
    <w:tbl>
      <w:tblPr>
        <w:tblStyle w:val="TableauGrille5Fonc-Accentuation2"/>
        <w:tblW w:w="0" w:type="auto"/>
        <w:tblLook w:val="04A0" w:firstRow="1" w:lastRow="0" w:firstColumn="1" w:lastColumn="0" w:noHBand="0" w:noVBand="1"/>
      </w:tblPr>
      <w:tblGrid>
        <w:gridCol w:w="7905"/>
        <w:gridCol w:w="2093"/>
      </w:tblGrid>
      <w:tr w:rsidR="00346758" w:rsidRPr="003F67D8" w14:paraId="08BD6DFA" w14:textId="77777777" w:rsidTr="00346758">
        <w:trPr>
          <w:cnfStyle w:val="100000000000" w:firstRow="1" w:lastRow="0" w:firstColumn="0" w:lastColumn="0" w:oddVBand="0" w:evenVBand="0" w:oddHBand="0"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7905" w:type="dxa"/>
          </w:tcPr>
          <w:p w14:paraId="5D81D12C" w14:textId="77777777" w:rsidR="00346758" w:rsidRPr="00346758" w:rsidRDefault="00346758" w:rsidP="0002571A">
            <w:pPr>
              <w:autoSpaceDE w:val="0"/>
              <w:autoSpaceDN w:val="0"/>
              <w:adjustRightInd w:val="0"/>
              <w:spacing w:before="120" w:after="120"/>
              <w:jc w:val="center"/>
              <w:rPr>
                <w:rFonts w:ascii="Verdana" w:hAnsi="Verdana" w:cs="MyriadPro-Regular"/>
                <w:b w:val="0"/>
                <w:sz w:val="20"/>
                <w:szCs w:val="20"/>
              </w:rPr>
            </w:pPr>
            <w:r w:rsidRPr="00346758">
              <w:rPr>
                <w:rFonts w:ascii="Verdana" w:hAnsi="Verdana" w:cs="MyriadPro-Regular"/>
                <w:b w:val="0"/>
                <w:sz w:val="20"/>
                <w:szCs w:val="20"/>
              </w:rPr>
              <w:t>OBJET</w:t>
            </w:r>
          </w:p>
        </w:tc>
        <w:tc>
          <w:tcPr>
            <w:tcW w:w="2093" w:type="dxa"/>
          </w:tcPr>
          <w:p w14:paraId="58427633" w14:textId="77777777" w:rsidR="00346758" w:rsidRPr="003F67D8" w:rsidRDefault="00346758" w:rsidP="00346758">
            <w:pPr>
              <w:autoSpaceDE w:val="0"/>
              <w:autoSpaceDN w:val="0"/>
              <w:adjustRightInd w:val="0"/>
              <w:spacing w:before="120" w:after="120"/>
              <w:jc w:val="center"/>
              <w:cnfStyle w:val="100000000000" w:firstRow="1" w:lastRow="0" w:firstColumn="0" w:lastColumn="0" w:oddVBand="0" w:evenVBand="0" w:oddHBand="0" w:evenHBand="0" w:firstRowFirstColumn="0" w:firstRowLastColumn="0" w:lastRowFirstColumn="0" w:lastRowLastColumn="0"/>
              <w:rPr>
                <w:rFonts w:ascii="Verdana" w:hAnsi="Verdana" w:cs="MyriadPro-Regular"/>
                <w:sz w:val="20"/>
                <w:szCs w:val="20"/>
              </w:rPr>
            </w:pPr>
            <w:r>
              <w:rPr>
                <w:rFonts w:ascii="Verdana" w:hAnsi="Verdana" w:cs="MyriadPro-Regular"/>
                <w:sz w:val="20"/>
                <w:szCs w:val="20"/>
              </w:rPr>
              <w:t>Cocher le motif de saisine</w:t>
            </w:r>
          </w:p>
        </w:tc>
      </w:tr>
      <w:tr w:rsidR="00346758" w:rsidRPr="003F67D8" w14:paraId="02911917" w14:textId="77777777" w:rsidTr="0034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Pr>
          <w:p w14:paraId="6630D56D" w14:textId="77777777" w:rsidR="00346758" w:rsidRPr="00346758" w:rsidRDefault="00346758" w:rsidP="0002571A">
            <w:pPr>
              <w:autoSpaceDE w:val="0"/>
              <w:autoSpaceDN w:val="0"/>
              <w:adjustRightInd w:val="0"/>
              <w:spacing w:before="120" w:after="120"/>
              <w:jc w:val="center"/>
              <w:rPr>
                <w:rFonts w:ascii="Verdana" w:hAnsi="Verdana" w:cs="MyriadPro-Regular"/>
                <w:b w:val="0"/>
                <w:sz w:val="18"/>
                <w:szCs w:val="18"/>
              </w:rPr>
            </w:pPr>
            <w:r w:rsidRPr="00346758">
              <w:rPr>
                <w:rFonts w:ascii="Verdana" w:hAnsi="Verdana" w:cs="MyriadPro-Regular"/>
                <w:b w:val="0"/>
                <w:sz w:val="18"/>
                <w:szCs w:val="18"/>
              </w:rPr>
              <w:t xml:space="preserve">Refus d’octroi d’un congé au titre du compte épargne temps (CET) </w:t>
            </w:r>
          </w:p>
        </w:tc>
        <w:tc>
          <w:tcPr>
            <w:tcW w:w="2093" w:type="dxa"/>
          </w:tcPr>
          <w:p w14:paraId="7A78ACFB" w14:textId="77777777" w:rsidR="00346758" w:rsidRPr="003F67D8" w:rsidRDefault="00346758" w:rsidP="0002571A">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Verdana" w:hAnsi="Verdana" w:cs="MyriadPro-Regular"/>
                <w:sz w:val="18"/>
                <w:szCs w:val="18"/>
              </w:rPr>
            </w:pPr>
          </w:p>
        </w:tc>
      </w:tr>
      <w:tr w:rsidR="00346758" w:rsidRPr="003F67D8" w14:paraId="3086529E" w14:textId="77777777" w:rsidTr="00346758">
        <w:tc>
          <w:tcPr>
            <w:cnfStyle w:val="001000000000" w:firstRow="0" w:lastRow="0" w:firstColumn="1" w:lastColumn="0" w:oddVBand="0" w:evenVBand="0" w:oddHBand="0" w:evenHBand="0" w:firstRowFirstColumn="0" w:firstRowLastColumn="0" w:lastRowFirstColumn="0" w:lastRowLastColumn="0"/>
            <w:tcW w:w="7905" w:type="dxa"/>
          </w:tcPr>
          <w:p w14:paraId="137C3D3B" w14:textId="77777777" w:rsidR="00346758" w:rsidRPr="00346758" w:rsidRDefault="00346758" w:rsidP="00346758">
            <w:pPr>
              <w:autoSpaceDE w:val="0"/>
              <w:autoSpaceDN w:val="0"/>
              <w:adjustRightInd w:val="0"/>
              <w:spacing w:before="120" w:after="120"/>
              <w:jc w:val="center"/>
              <w:rPr>
                <w:rFonts w:ascii="Verdana" w:hAnsi="Verdana" w:cs="MyriadPro-Regular"/>
                <w:b w:val="0"/>
                <w:sz w:val="18"/>
                <w:szCs w:val="18"/>
              </w:rPr>
            </w:pPr>
            <w:r w:rsidRPr="00346758">
              <w:rPr>
                <w:rFonts w:ascii="Verdana" w:hAnsi="Verdana" w:cs="MyriadPro-Regular"/>
                <w:b w:val="0"/>
                <w:sz w:val="18"/>
                <w:szCs w:val="18"/>
              </w:rPr>
              <w:t xml:space="preserve">Disponibilité </w:t>
            </w:r>
          </w:p>
        </w:tc>
        <w:tc>
          <w:tcPr>
            <w:tcW w:w="2093" w:type="dxa"/>
          </w:tcPr>
          <w:p w14:paraId="2045CAEB" w14:textId="77777777" w:rsidR="00346758" w:rsidRPr="003F67D8" w:rsidRDefault="00346758" w:rsidP="0002571A">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cs="MyriadPro-Regular"/>
                <w:sz w:val="18"/>
                <w:szCs w:val="18"/>
              </w:rPr>
            </w:pPr>
          </w:p>
        </w:tc>
      </w:tr>
      <w:tr w:rsidR="00346758" w:rsidRPr="003F67D8" w14:paraId="35A56374" w14:textId="77777777" w:rsidTr="0034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Pr>
          <w:p w14:paraId="2C1C488C" w14:textId="77777777" w:rsidR="00346758" w:rsidRPr="00346758" w:rsidRDefault="00346758" w:rsidP="0002571A">
            <w:pPr>
              <w:autoSpaceDE w:val="0"/>
              <w:autoSpaceDN w:val="0"/>
              <w:adjustRightInd w:val="0"/>
              <w:spacing w:before="120" w:after="120"/>
              <w:jc w:val="center"/>
              <w:rPr>
                <w:rFonts w:ascii="Verdana" w:hAnsi="Verdana" w:cs="MyriadPro-Regular"/>
                <w:b w:val="0"/>
                <w:sz w:val="18"/>
                <w:szCs w:val="18"/>
              </w:rPr>
            </w:pPr>
            <w:r w:rsidRPr="00346758">
              <w:rPr>
                <w:rFonts w:ascii="Verdana" w:hAnsi="Verdana" w:cs="MyriadPro-Regular"/>
                <w:b w:val="0"/>
                <w:sz w:val="18"/>
                <w:szCs w:val="18"/>
              </w:rPr>
              <w:t>Refus de l’acceptation de la démission d’un fonctionnaire par l’autorité territoriale</w:t>
            </w:r>
          </w:p>
        </w:tc>
        <w:tc>
          <w:tcPr>
            <w:tcW w:w="2093" w:type="dxa"/>
          </w:tcPr>
          <w:p w14:paraId="5417F1D5" w14:textId="77777777" w:rsidR="00346758" w:rsidRPr="003F67D8" w:rsidRDefault="00346758" w:rsidP="0002571A">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Verdana" w:hAnsi="Verdana" w:cs="MyriadPro-Regular"/>
                <w:sz w:val="18"/>
                <w:szCs w:val="18"/>
              </w:rPr>
            </w:pPr>
          </w:p>
        </w:tc>
      </w:tr>
      <w:tr w:rsidR="00346758" w:rsidRPr="003F67D8" w14:paraId="655BA554" w14:textId="77777777" w:rsidTr="00346758">
        <w:tc>
          <w:tcPr>
            <w:cnfStyle w:val="001000000000" w:firstRow="0" w:lastRow="0" w:firstColumn="1" w:lastColumn="0" w:oddVBand="0" w:evenVBand="0" w:oddHBand="0" w:evenHBand="0" w:firstRowFirstColumn="0" w:firstRowLastColumn="0" w:lastRowFirstColumn="0" w:lastRowLastColumn="0"/>
            <w:tcW w:w="7905" w:type="dxa"/>
          </w:tcPr>
          <w:p w14:paraId="24E52246" w14:textId="77777777" w:rsidR="00346758" w:rsidRPr="00346758" w:rsidRDefault="00346758" w:rsidP="00346758">
            <w:pPr>
              <w:autoSpaceDE w:val="0"/>
              <w:autoSpaceDN w:val="0"/>
              <w:adjustRightInd w:val="0"/>
              <w:spacing w:before="120" w:after="120"/>
              <w:jc w:val="center"/>
              <w:rPr>
                <w:rFonts w:ascii="Verdana" w:hAnsi="Verdana" w:cs="Arial"/>
                <w:b w:val="0"/>
                <w:bCs w:val="0"/>
                <w:sz w:val="18"/>
                <w:szCs w:val="18"/>
              </w:rPr>
            </w:pPr>
            <w:r w:rsidRPr="00346758">
              <w:rPr>
                <w:rFonts w:ascii="Verdana" w:hAnsi="Verdana" w:cs="Arial"/>
                <w:b w:val="0"/>
                <w:sz w:val="18"/>
                <w:szCs w:val="18"/>
              </w:rPr>
              <w:t>Refus opposé à une demande de mobilisation du C.P.F.</w:t>
            </w:r>
          </w:p>
        </w:tc>
        <w:tc>
          <w:tcPr>
            <w:tcW w:w="2093" w:type="dxa"/>
          </w:tcPr>
          <w:p w14:paraId="056095B3" w14:textId="77777777" w:rsidR="00346758" w:rsidRDefault="00346758" w:rsidP="0002571A">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cs="Arial"/>
                <w:sz w:val="18"/>
                <w:szCs w:val="18"/>
              </w:rPr>
            </w:pPr>
          </w:p>
        </w:tc>
      </w:tr>
      <w:tr w:rsidR="00346758" w:rsidRPr="003F67D8" w14:paraId="2782333E" w14:textId="77777777" w:rsidTr="0034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Pr>
          <w:p w14:paraId="07E2754A" w14:textId="77777777" w:rsidR="00346758" w:rsidRPr="00346758" w:rsidRDefault="00346758" w:rsidP="0002571A">
            <w:pPr>
              <w:autoSpaceDE w:val="0"/>
              <w:autoSpaceDN w:val="0"/>
              <w:adjustRightInd w:val="0"/>
              <w:spacing w:before="120" w:after="120"/>
              <w:jc w:val="center"/>
              <w:rPr>
                <w:rFonts w:ascii="Verdana" w:hAnsi="Verdana" w:cs="MyriadPro-Regular"/>
                <w:b w:val="0"/>
                <w:sz w:val="18"/>
                <w:szCs w:val="18"/>
              </w:rPr>
            </w:pPr>
            <w:r w:rsidRPr="00346758">
              <w:rPr>
                <w:rFonts w:ascii="Verdana" w:hAnsi="Verdana" w:cs="MyriadPro-Regular"/>
                <w:b w:val="0"/>
                <w:sz w:val="18"/>
                <w:szCs w:val="18"/>
              </w:rPr>
              <w:t>Révision du compte rendu de l‘entretien professionnel</w:t>
            </w:r>
          </w:p>
        </w:tc>
        <w:tc>
          <w:tcPr>
            <w:tcW w:w="2093" w:type="dxa"/>
          </w:tcPr>
          <w:p w14:paraId="15BA4F55" w14:textId="77777777" w:rsidR="00346758" w:rsidRPr="003F67D8" w:rsidRDefault="00346758" w:rsidP="0002571A">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Verdana" w:hAnsi="Verdana" w:cs="MyriadPro-Regular"/>
                <w:sz w:val="18"/>
                <w:szCs w:val="18"/>
              </w:rPr>
            </w:pPr>
          </w:p>
        </w:tc>
      </w:tr>
      <w:tr w:rsidR="00346758" w:rsidRPr="003F67D8" w14:paraId="6A8A6F5D" w14:textId="77777777" w:rsidTr="00346758">
        <w:tc>
          <w:tcPr>
            <w:cnfStyle w:val="001000000000" w:firstRow="0" w:lastRow="0" w:firstColumn="1" w:lastColumn="0" w:oddVBand="0" w:evenVBand="0" w:oddHBand="0" w:evenHBand="0" w:firstRowFirstColumn="0" w:firstRowLastColumn="0" w:lastRowFirstColumn="0" w:lastRowLastColumn="0"/>
            <w:tcW w:w="7905" w:type="dxa"/>
          </w:tcPr>
          <w:p w14:paraId="48F49050" w14:textId="77777777" w:rsidR="00346758" w:rsidRPr="00346758" w:rsidRDefault="00346758" w:rsidP="0002571A">
            <w:pPr>
              <w:autoSpaceDE w:val="0"/>
              <w:autoSpaceDN w:val="0"/>
              <w:adjustRightInd w:val="0"/>
              <w:spacing w:before="120" w:after="120"/>
              <w:jc w:val="center"/>
              <w:rPr>
                <w:rFonts w:ascii="Verdana" w:hAnsi="Verdana" w:cs="MyriadPro-Regular"/>
                <w:b w:val="0"/>
                <w:sz w:val="18"/>
                <w:szCs w:val="18"/>
              </w:rPr>
            </w:pPr>
            <w:r w:rsidRPr="00346758">
              <w:rPr>
                <w:rFonts w:ascii="Verdana" w:hAnsi="Verdana" w:cs="MyriadPro-Regular"/>
                <w:b w:val="0"/>
                <w:sz w:val="18"/>
                <w:szCs w:val="18"/>
              </w:rPr>
              <w:t xml:space="preserve">Refus ou litiges relatifs au télétravail ou renouvellement de télétravail, </w:t>
            </w:r>
          </w:p>
        </w:tc>
        <w:tc>
          <w:tcPr>
            <w:tcW w:w="2093" w:type="dxa"/>
          </w:tcPr>
          <w:p w14:paraId="69512F24" w14:textId="77777777" w:rsidR="00346758" w:rsidRDefault="00346758" w:rsidP="0002571A">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cs="MyriadPro-Regular"/>
                <w:sz w:val="18"/>
                <w:szCs w:val="18"/>
              </w:rPr>
            </w:pPr>
          </w:p>
        </w:tc>
      </w:tr>
      <w:tr w:rsidR="00346758" w:rsidRPr="003F67D8" w14:paraId="13B88CE1" w14:textId="77777777" w:rsidTr="00346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5" w:type="dxa"/>
          </w:tcPr>
          <w:p w14:paraId="5BDF2337" w14:textId="77777777" w:rsidR="00346758" w:rsidRPr="00346758" w:rsidRDefault="00346758" w:rsidP="0002571A">
            <w:pPr>
              <w:autoSpaceDE w:val="0"/>
              <w:autoSpaceDN w:val="0"/>
              <w:adjustRightInd w:val="0"/>
              <w:spacing w:before="120" w:after="120"/>
              <w:jc w:val="center"/>
              <w:rPr>
                <w:rFonts w:ascii="Verdana" w:hAnsi="Verdana" w:cs="MyriadPro-Regular"/>
                <w:b w:val="0"/>
                <w:sz w:val="18"/>
                <w:szCs w:val="18"/>
              </w:rPr>
            </w:pPr>
            <w:r w:rsidRPr="00346758">
              <w:rPr>
                <w:rFonts w:ascii="Verdana" w:hAnsi="Verdana" w:cs="MyriadPro-Regular"/>
                <w:b w:val="0"/>
                <w:sz w:val="18"/>
                <w:szCs w:val="18"/>
              </w:rPr>
              <w:t xml:space="preserve">Refus ou litiges relatifs au temps partiel sur autorisation </w:t>
            </w:r>
          </w:p>
        </w:tc>
        <w:tc>
          <w:tcPr>
            <w:tcW w:w="2093" w:type="dxa"/>
          </w:tcPr>
          <w:p w14:paraId="1A56EC6B" w14:textId="77777777" w:rsidR="00346758" w:rsidRDefault="00346758" w:rsidP="0002571A">
            <w:pPr>
              <w:autoSpaceDE w:val="0"/>
              <w:autoSpaceDN w:val="0"/>
              <w:adjustRightInd w:val="0"/>
              <w:spacing w:before="120" w:after="120"/>
              <w:jc w:val="center"/>
              <w:cnfStyle w:val="000000100000" w:firstRow="0" w:lastRow="0" w:firstColumn="0" w:lastColumn="0" w:oddVBand="0" w:evenVBand="0" w:oddHBand="1" w:evenHBand="0" w:firstRowFirstColumn="0" w:firstRowLastColumn="0" w:lastRowFirstColumn="0" w:lastRowLastColumn="0"/>
              <w:rPr>
                <w:rFonts w:ascii="Verdana" w:hAnsi="Verdana" w:cs="MyriadPro-Regular"/>
                <w:sz w:val="18"/>
                <w:szCs w:val="18"/>
              </w:rPr>
            </w:pPr>
          </w:p>
        </w:tc>
      </w:tr>
      <w:tr w:rsidR="0061210F" w:rsidRPr="003F67D8" w14:paraId="56A9FE57" w14:textId="77777777" w:rsidTr="00346758">
        <w:tc>
          <w:tcPr>
            <w:cnfStyle w:val="001000000000" w:firstRow="0" w:lastRow="0" w:firstColumn="1" w:lastColumn="0" w:oddVBand="0" w:evenVBand="0" w:oddHBand="0" w:evenHBand="0" w:firstRowFirstColumn="0" w:firstRowLastColumn="0" w:lastRowFirstColumn="0" w:lastRowLastColumn="0"/>
            <w:tcW w:w="7905" w:type="dxa"/>
          </w:tcPr>
          <w:p w14:paraId="45915134" w14:textId="7864586E" w:rsidR="0061210F" w:rsidRPr="0061210F" w:rsidRDefault="0061210F" w:rsidP="0002571A">
            <w:pPr>
              <w:autoSpaceDE w:val="0"/>
              <w:autoSpaceDN w:val="0"/>
              <w:adjustRightInd w:val="0"/>
              <w:spacing w:before="120" w:after="120"/>
              <w:jc w:val="center"/>
              <w:rPr>
                <w:rFonts w:ascii="Verdana" w:hAnsi="Verdana" w:cs="MyriadPro-Regular"/>
                <w:b w:val="0"/>
                <w:bCs w:val="0"/>
                <w:sz w:val="18"/>
                <w:szCs w:val="18"/>
              </w:rPr>
            </w:pPr>
            <w:r>
              <w:rPr>
                <w:rFonts w:ascii="Verdana" w:hAnsi="Verdana" w:cs="MyriadPro-Regular"/>
                <w:b w:val="0"/>
                <w:bCs w:val="0"/>
                <w:sz w:val="18"/>
                <w:szCs w:val="18"/>
              </w:rPr>
              <w:t>Refus de la procédure de reclassement</w:t>
            </w:r>
          </w:p>
        </w:tc>
        <w:tc>
          <w:tcPr>
            <w:tcW w:w="2093" w:type="dxa"/>
          </w:tcPr>
          <w:p w14:paraId="72E502D1" w14:textId="77777777" w:rsidR="0061210F" w:rsidRDefault="0061210F" w:rsidP="0002571A">
            <w:pPr>
              <w:autoSpaceDE w:val="0"/>
              <w:autoSpaceDN w:val="0"/>
              <w:adjustRightInd w:val="0"/>
              <w:spacing w:before="120" w:after="120"/>
              <w:jc w:val="center"/>
              <w:cnfStyle w:val="000000000000" w:firstRow="0" w:lastRow="0" w:firstColumn="0" w:lastColumn="0" w:oddVBand="0" w:evenVBand="0" w:oddHBand="0" w:evenHBand="0" w:firstRowFirstColumn="0" w:firstRowLastColumn="0" w:lastRowFirstColumn="0" w:lastRowLastColumn="0"/>
              <w:rPr>
                <w:rFonts w:ascii="Verdana" w:hAnsi="Verdana" w:cs="MyriadPro-Regular"/>
                <w:sz w:val="18"/>
                <w:szCs w:val="18"/>
              </w:rPr>
            </w:pPr>
          </w:p>
        </w:tc>
      </w:tr>
    </w:tbl>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2"/>
        <w:gridCol w:w="4986"/>
      </w:tblGrid>
      <w:tr w:rsidR="00FB0D7F" w:rsidRPr="00B56E19" w14:paraId="3BD5F4E6" w14:textId="77777777" w:rsidTr="00FB0D7F">
        <w:tc>
          <w:tcPr>
            <w:tcW w:w="5012" w:type="dxa"/>
          </w:tcPr>
          <w:p w14:paraId="2A015C92" w14:textId="77777777" w:rsidR="00FB0D7F" w:rsidRPr="00B56E19" w:rsidRDefault="00FB0D7F" w:rsidP="00FB0D7F">
            <w:pPr>
              <w:ind w:left="-709"/>
              <w:rPr>
                <w:rFonts w:ascii="Verdana" w:hAnsi="Verdana"/>
              </w:rPr>
            </w:pPr>
          </w:p>
        </w:tc>
        <w:tc>
          <w:tcPr>
            <w:tcW w:w="4986" w:type="dxa"/>
          </w:tcPr>
          <w:p w14:paraId="114915CC" w14:textId="77777777" w:rsidR="00FB0D7F" w:rsidRPr="00B56E19" w:rsidRDefault="00FB0D7F" w:rsidP="00FB0D7F">
            <w:pPr>
              <w:ind w:left="-709"/>
              <w:rPr>
                <w:rFonts w:ascii="Verdana" w:hAnsi="Verdana"/>
              </w:rPr>
            </w:pPr>
          </w:p>
        </w:tc>
      </w:tr>
    </w:tbl>
    <w:p w14:paraId="1A20E177" w14:textId="77777777" w:rsidR="00BC2997" w:rsidRPr="00150FC8" w:rsidRDefault="00BC2997" w:rsidP="005A7329">
      <w:pPr>
        <w:spacing w:afterLines="20" w:after="48"/>
        <w:jc w:val="right"/>
        <w:rPr>
          <w:rFonts w:ascii="Verdana" w:hAnsi="Verdana" w:cs="Arial"/>
          <w:sz w:val="18"/>
          <w:szCs w:val="18"/>
        </w:rPr>
      </w:pPr>
      <w:r w:rsidRPr="00150FC8">
        <w:rPr>
          <w:rFonts w:ascii="Verdana" w:hAnsi="Verdana" w:cs="Arial"/>
          <w:bCs/>
          <w:sz w:val="18"/>
          <w:szCs w:val="18"/>
        </w:rPr>
        <w:t>Fait à :</w:t>
      </w:r>
      <w:r w:rsidRPr="00150FC8">
        <w:rPr>
          <w:rFonts w:ascii="Verdana" w:hAnsi="Verdana" w:cs="Arial"/>
          <w:sz w:val="18"/>
          <w:szCs w:val="18"/>
        </w:rPr>
        <w:tab/>
      </w:r>
      <w:r w:rsidRPr="00BC2997">
        <w:rPr>
          <w:rFonts w:ascii="Verdana" w:hAnsi="Verdana" w:cs="Arial"/>
          <w:sz w:val="18"/>
          <w:szCs w:val="18"/>
          <w:u w:val="single"/>
        </w:rPr>
        <w:tab/>
      </w:r>
      <w:r w:rsidRPr="00BC2997">
        <w:rPr>
          <w:rFonts w:ascii="Verdana" w:hAnsi="Verdana" w:cs="Arial"/>
          <w:sz w:val="18"/>
          <w:szCs w:val="18"/>
          <w:u w:val="single"/>
        </w:rPr>
        <w:tab/>
      </w:r>
      <w:r w:rsidRPr="00BC2997">
        <w:rPr>
          <w:rFonts w:ascii="Verdana" w:hAnsi="Verdana" w:cs="Arial"/>
          <w:sz w:val="18"/>
          <w:szCs w:val="18"/>
          <w:u w:val="single"/>
        </w:rPr>
        <w:tab/>
      </w:r>
      <w:r w:rsidRPr="00BC2997">
        <w:rPr>
          <w:rFonts w:ascii="Verdana" w:hAnsi="Verdana" w:cs="Arial"/>
          <w:sz w:val="18"/>
          <w:szCs w:val="18"/>
          <w:u w:val="single"/>
        </w:rPr>
        <w:tab/>
      </w:r>
      <w:r w:rsidRPr="00150FC8">
        <w:rPr>
          <w:rFonts w:ascii="Verdana" w:hAnsi="Verdana" w:cs="Arial"/>
          <w:sz w:val="18"/>
          <w:szCs w:val="18"/>
        </w:rPr>
        <w:t>Le</w:t>
      </w:r>
      <w:r w:rsidRPr="00BC2997">
        <w:rPr>
          <w:rFonts w:ascii="Verdana" w:hAnsi="Verdana" w:cs="Arial"/>
          <w:sz w:val="18"/>
          <w:szCs w:val="18"/>
          <w:u w:val="single"/>
        </w:rPr>
        <w:tab/>
      </w:r>
      <w:r w:rsidRPr="00BC2997">
        <w:rPr>
          <w:rFonts w:ascii="Verdana" w:hAnsi="Verdana" w:cs="Arial"/>
          <w:sz w:val="18"/>
          <w:szCs w:val="18"/>
          <w:u w:val="single"/>
        </w:rPr>
        <w:tab/>
      </w:r>
      <w:r w:rsidRPr="00BC2997">
        <w:rPr>
          <w:rFonts w:ascii="Verdana" w:hAnsi="Verdana" w:cs="Arial"/>
          <w:sz w:val="18"/>
          <w:szCs w:val="18"/>
          <w:u w:val="single"/>
        </w:rPr>
        <w:tab/>
      </w:r>
    </w:p>
    <w:p w14:paraId="7A7657C3" w14:textId="77777777" w:rsidR="00346758" w:rsidRDefault="00346758" w:rsidP="005A7329">
      <w:pPr>
        <w:spacing w:afterLines="20" w:after="48"/>
        <w:rPr>
          <w:rFonts w:ascii="Verdana" w:hAnsi="Verdana" w:cs="Arial"/>
          <w:b/>
          <w:bCs/>
          <w:sz w:val="18"/>
          <w:szCs w:val="18"/>
        </w:rPr>
      </w:pPr>
    </w:p>
    <w:p w14:paraId="2911C343" w14:textId="77777777" w:rsidR="00BF3A7C" w:rsidRPr="00346758" w:rsidRDefault="00BC2997" w:rsidP="003D1ED7">
      <w:pPr>
        <w:spacing w:afterLines="20" w:after="48"/>
        <w:jc w:val="right"/>
        <w:rPr>
          <w:rFonts w:ascii="Verdana" w:hAnsi="Verdana" w:cs="Arial"/>
          <w:b/>
          <w:bCs/>
          <w:sz w:val="18"/>
          <w:szCs w:val="18"/>
        </w:rPr>
      </w:pPr>
      <w:r w:rsidRPr="00C71D5F">
        <w:rPr>
          <w:rFonts w:ascii="Verdana" w:hAnsi="Verdana" w:cs="Arial"/>
          <w:b/>
          <w:bCs/>
          <w:sz w:val="18"/>
          <w:szCs w:val="18"/>
        </w:rPr>
        <w:t>SIGNATURE DE L’AGENT</w:t>
      </w:r>
      <w:r w:rsidRPr="00C71D5F">
        <w:rPr>
          <w:rFonts w:ascii="Verdana" w:hAnsi="Verdana" w:cs="Arial"/>
          <w:sz w:val="18"/>
          <w:szCs w:val="18"/>
        </w:rPr>
        <w:tab/>
      </w:r>
    </w:p>
    <w:p w14:paraId="297C98B7" w14:textId="77777777" w:rsidR="00346758" w:rsidRDefault="00346758" w:rsidP="005A7329">
      <w:pPr>
        <w:spacing w:afterLines="20" w:after="48"/>
        <w:rPr>
          <w:rFonts w:ascii="Verdana" w:hAnsi="Verdana" w:cs="Arial"/>
          <w:b/>
          <w:bCs/>
          <w:sz w:val="18"/>
          <w:szCs w:val="18"/>
        </w:rPr>
      </w:pPr>
    </w:p>
    <w:p w14:paraId="2BFB60E0" w14:textId="77777777" w:rsidR="00346758" w:rsidRDefault="00346758" w:rsidP="005A7329">
      <w:pPr>
        <w:spacing w:afterLines="20" w:after="48"/>
        <w:rPr>
          <w:rFonts w:ascii="Verdana" w:hAnsi="Verdana" w:cs="Arial"/>
          <w:b/>
          <w:bCs/>
          <w:sz w:val="18"/>
          <w:szCs w:val="18"/>
        </w:rPr>
      </w:pPr>
    </w:p>
    <w:p w14:paraId="65C03449" w14:textId="77777777" w:rsidR="0018076E" w:rsidRDefault="007E2115" w:rsidP="007E2115">
      <w:pPr>
        <w:spacing w:afterLines="20" w:after="48"/>
        <w:ind w:hanging="993"/>
        <w:rPr>
          <w:rFonts w:ascii="Verdana" w:hAnsi="Verdana" w:cs="Arial"/>
          <w:b/>
          <w:bCs/>
          <w:sz w:val="18"/>
          <w:szCs w:val="18"/>
        </w:rPr>
      </w:pPr>
      <w:r>
        <w:rPr>
          <w:rFonts w:ascii="Verdana" w:hAnsi="Verdana" w:cs="Arial"/>
          <w:b/>
          <w:bCs/>
          <w:sz w:val="18"/>
          <w:szCs w:val="18"/>
        </w:rPr>
        <w:t>NB : Le centre de gestion communiquera avec l’employeur pour la bonne instruction du dossier.</w:t>
      </w:r>
    </w:p>
    <w:p w14:paraId="1235A385" w14:textId="56F54E0D" w:rsidR="00C71D5F" w:rsidRPr="00A70D3C" w:rsidRDefault="00C71D5F" w:rsidP="0061210F">
      <w:pPr>
        <w:spacing w:after="0" w:line="240" w:lineRule="auto"/>
        <w:ind w:left="-709"/>
        <w:jc w:val="both"/>
        <w:rPr>
          <w:rFonts w:ascii="Verdana" w:hAnsi="Verdana"/>
          <w:b/>
          <w:color w:val="FF0000"/>
          <w:sz w:val="20"/>
          <w:szCs w:val="20"/>
          <w:u w:val="single"/>
        </w:rPr>
      </w:pPr>
      <w:r w:rsidRPr="00A70D3C">
        <w:rPr>
          <w:rFonts w:ascii="Verdana" w:hAnsi="Verdana"/>
          <w:b/>
          <w:sz w:val="20"/>
          <w:szCs w:val="20"/>
          <w:u w:val="single"/>
        </w:rPr>
        <w:t>Pièces justificatives à joindre à la demande :</w:t>
      </w:r>
      <w:r w:rsidRPr="00A70D3C">
        <w:rPr>
          <w:rFonts w:ascii="Verdana" w:hAnsi="Verdana"/>
          <w:b/>
          <w:i/>
          <w:sz w:val="20"/>
          <w:szCs w:val="20"/>
        </w:rPr>
        <w:t xml:space="preserve"> </w:t>
      </w:r>
      <w:r w:rsidRPr="00A70D3C">
        <w:rPr>
          <w:rFonts w:ascii="Verdana" w:hAnsi="Verdana"/>
          <w:b/>
          <w:i/>
          <w:color w:val="FF0000"/>
          <w:sz w:val="20"/>
          <w:szCs w:val="20"/>
        </w:rPr>
        <w:sym w:font="Wingdings" w:char="F046"/>
      </w:r>
      <w:r w:rsidRPr="00A70D3C">
        <w:rPr>
          <w:rFonts w:ascii="Verdana" w:hAnsi="Verdana"/>
          <w:b/>
          <w:i/>
          <w:color w:val="FF0000"/>
          <w:sz w:val="20"/>
          <w:szCs w:val="20"/>
        </w:rPr>
        <w:t xml:space="preserve"> A défaut le dossier ne pourra pas être</w:t>
      </w:r>
      <w:r w:rsidR="0061210F">
        <w:rPr>
          <w:rFonts w:ascii="Verdana" w:hAnsi="Verdana"/>
          <w:b/>
          <w:i/>
          <w:color w:val="FF0000"/>
          <w:sz w:val="20"/>
          <w:szCs w:val="20"/>
        </w:rPr>
        <w:t xml:space="preserve"> </w:t>
      </w:r>
      <w:r w:rsidRPr="00A70D3C">
        <w:rPr>
          <w:rFonts w:ascii="Verdana" w:hAnsi="Verdana"/>
          <w:b/>
          <w:i/>
          <w:color w:val="FF0000"/>
          <w:sz w:val="20"/>
          <w:szCs w:val="20"/>
        </w:rPr>
        <w:t>présenté à la séance</w:t>
      </w:r>
    </w:p>
    <w:p w14:paraId="2ECECDA1" w14:textId="77777777" w:rsidR="00C71D5F" w:rsidRDefault="00FB0D7F" w:rsidP="00BF3A7C">
      <w:pPr>
        <w:pStyle w:val="Paragraphedeliste"/>
        <w:numPr>
          <w:ilvl w:val="0"/>
          <w:numId w:val="3"/>
        </w:numPr>
        <w:ind w:left="-709"/>
        <w:rPr>
          <w:rFonts w:ascii="Verdana" w:hAnsi="Verdana"/>
          <w:sz w:val="18"/>
          <w:szCs w:val="18"/>
        </w:rPr>
      </w:pPr>
      <w:r w:rsidRPr="00C71D5F">
        <w:rPr>
          <w:rFonts w:ascii="Verdana" w:hAnsi="Verdana"/>
          <w:sz w:val="18"/>
          <w:szCs w:val="18"/>
        </w:rPr>
        <w:t>le courrier de saisine de la C.A.P. de l’agent dûment motivé (précisant le point, le thème, la partie du compte-rendu contesté),</w:t>
      </w:r>
    </w:p>
    <w:p w14:paraId="4EB368B0" w14:textId="77777777" w:rsidR="00C71D5F" w:rsidRPr="00346758" w:rsidRDefault="00FB0D7F" w:rsidP="005D4477">
      <w:pPr>
        <w:pStyle w:val="Paragraphedeliste"/>
        <w:numPr>
          <w:ilvl w:val="0"/>
          <w:numId w:val="3"/>
        </w:numPr>
        <w:ind w:left="-709"/>
        <w:rPr>
          <w:rFonts w:ascii="Verdana" w:hAnsi="Verdana"/>
          <w:sz w:val="18"/>
          <w:szCs w:val="18"/>
        </w:rPr>
      </w:pPr>
      <w:r w:rsidRPr="00346758">
        <w:rPr>
          <w:rFonts w:ascii="Verdana" w:hAnsi="Verdana"/>
          <w:sz w:val="18"/>
          <w:szCs w:val="18"/>
        </w:rPr>
        <w:t xml:space="preserve">la </w:t>
      </w:r>
      <w:r w:rsidR="00346758" w:rsidRPr="00346758">
        <w:rPr>
          <w:rFonts w:ascii="Verdana" w:hAnsi="Verdana"/>
          <w:sz w:val="18"/>
          <w:szCs w:val="18"/>
        </w:rPr>
        <w:t xml:space="preserve">demande initiale de l’agent </w:t>
      </w:r>
      <w:r w:rsidRPr="00346758">
        <w:rPr>
          <w:rFonts w:ascii="Verdana" w:hAnsi="Verdana"/>
          <w:sz w:val="18"/>
          <w:szCs w:val="18"/>
        </w:rPr>
        <w:t>formulée auprès de l’autorité territoriale,</w:t>
      </w:r>
    </w:p>
    <w:p w14:paraId="53C4018D" w14:textId="77777777" w:rsidR="00C71D5F" w:rsidRDefault="00FB0D7F" w:rsidP="00FB0D7F">
      <w:pPr>
        <w:pStyle w:val="Paragraphedeliste"/>
        <w:numPr>
          <w:ilvl w:val="0"/>
          <w:numId w:val="3"/>
        </w:numPr>
        <w:spacing w:before="120" w:line="360" w:lineRule="auto"/>
        <w:ind w:left="-709"/>
        <w:rPr>
          <w:rFonts w:ascii="Verdana" w:hAnsi="Verdana"/>
          <w:sz w:val="18"/>
          <w:szCs w:val="18"/>
        </w:rPr>
      </w:pPr>
      <w:r w:rsidRPr="00C71D5F">
        <w:rPr>
          <w:rFonts w:ascii="Verdana" w:hAnsi="Verdana"/>
          <w:sz w:val="18"/>
          <w:szCs w:val="18"/>
        </w:rPr>
        <w:t>la réponse de l’autorité territoriale sur la demande,</w:t>
      </w:r>
    </w:p>
    <w:p w14:paraId="217C615B" w14:textId="77777777" w:rsidR="00346758" w:rsidRDefault="007E2115" w:rsidP="00FB0D7F">
      <w:pPr>
        <w:pStyle w:val="Paragraphedeliste"/>
        <w:numPr>
          <w:ilvl w:val="0"/>
          <w:numId w:val="3"/>
        </w:numPr>
        <w:spacing w:before="120" w:line="360" w:lineRule="auto"/>
        <w:ind w:left="-709"/>
        <w:rPr>
          <w:rFonts w:ascii="Verdana" w:hAnsi="Verdana"/>
          <w:sz w:val="18"/>
          <w:szCs w:val="18"/>
        </w:rPr>
      </w:pPr>
      <w:r>
        <w:rPr>
          <w:rFonts w:ascii="Verdana" w:hAnsi="Verdana"/>
          <w:noProof/>
          <w:sz w:val="18"/>
          <w:szCs w:val="18"/>
          <w:lang w:eastAsia="fr-FR"/>
        </w:rPr>
        <w:drawing>
          <wp:anchor distT="0" distB="0" distL="114300" distR="114300" simplePos="0" relativeHeight="251659264" behindDoc="1" locked="0" layoutInCell="1" allowOverlap="1" wp14:anchorId="16E1B4F7" wp14:editId="6BE8192E">
            <wp:simplePos x="0" y="0"/>
            <wp:positionH relativeFrom="column">
              <wp:posOffset>4729480</wp:posOffset>
            </wp:positionH>
            <wp:positionV relativeFrom="paragraph">
              <wp:posOffset>160655</wp:posOffset>
            </wp:positionV>
            <wp:extent cx="1752600" cy="942975"/>
            <wp:effectExtent l="19050" t="0" r="0" b="0"/>
            <wp:wrapNone/>
            <wp:docPr id="20" name="Image 2" descr="K:\MOYENS GENERAUX\Organisation CDG\Logo Plan Charte graph\Charte graphique\courrier_pied_pag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MOYENS GENERAUX\Organisation CDG\Logo Plan Charte graph\Charte graphique\courrier_pied_page_logo.jpg"/>
                    <pic:cNvPicPr>
                      <a:picLocks noChangeAspect="1" noChangeArrowheads="1"/>
                    </pic:cNvPicPr>
                  </pic:nvPicPr>
                  <pic:blipFill>
                    <a:blip r:embed="rId8" cstate="print"/>
                    <a:srcRect/>
                    <a:stretch>
                      <a:fillRect/>
                    </a:stretch>
                  </pic:blipFill>
                  <pic:spPr bwMode="auto">
                    <a:xfrm>
                      <a:off x="0" y="0"/>
                      <a:ext cx="1752600" cy="942975"/>
                    </a:xfrm>
                    <a:prstGeom prst="rect">
                      <a:avLst/>
                    </a:prstGeom>
                    <a:noFill/>
                    <a:ln w="9525">
                      <a:noFill/>
                      <a:miter lim="800000"/>
                      <a:headEnd/>
                      <a:tailEnd/>
                    </a:ln>
                  </pic:spPr>
                </pic:pic>
              </a:graphicData>
            </a:graphic>
          </wp:anchor>
        </w:drawing>
      </w:r>
      <w:r w:rsidR="00346758">
        <w:rPr>
          <w:rFonts w:ascii="Verdana" w:hAnsi="Verdana"/>
          <w:sz w:val="18"/>
          <w:szCs w:val="18"/>
        </w:rPr>
        <w:t>les éventuels autres échanges</w:t>
      </w:r>
    </w:p>
    <w:p w14:paraId="3BAF9F73" w14:textId="77777777" w:rsidR="00FB0D7F" w:rsidRPr="007E2115" w:rsidRDefault="00FB0D7F" w:rsidP="007A40D6">
      <w:pPr>
        <w:pStyle w:val="Paragraphedeliste"/>
        <w:numPr>
          <w:ilvl w:val="0"/>
          <w:numId w:val="3"/>
        </w:numPr>
        <w:spacing w:before="120" w:line="240" w:lineRule="auto"/>
        <w:ind w:left="-709"/>
        <w:jc w:val="both"/>
        <w:rPr>
          <w:sz w:val="18"/>
          <w:szCs w:val="18"/>
        </w:rPr>
      </w:pPr>
      <w:r w:rsidRPr="00346758">
        <w:rPr>
          <w:rFonts w:ascii="Verdana" w:hAnsi="Verdana"/>
          <w:sz w:val="18"/>
          <w:szCs w:val="18"/>
        </w:rPr>
        <w:t xml:space="preserve">et autres documents (il s’agit de tout autre document que vous jugez utile à l’appréciation des membres - </w:t>
      </w:r>
      <w:r w:rsidRPr="00346758">
        <w:rPr>
          <w:rFonts w:ascii="Verdana" w:hAnsi="Verdana"/>
          <w:b/>
          <w:sz w:val="18"/>
          <w:szCs w:val="18"/>
          <w:u w:val="single"/>
        </w:rPr>
        <w:t>facultatif</w:t>
      </w:r>
      <w:r w:rsidRPr="00346758">
        <w:rPr>
          <w:rFonts w:ascii="Verdana" w:hAnsi="Verdana"/>
          <w:sz w:val="18"/>
          <w:szCs w:val="18"/>
        </w:rPr>
        <w:t>).</w:t>
      </w:r>
    </w:p>
    <w:p w14:paraId="5B84CBE1" w14:textId="083DFB2D" w:rsidR="007E2115" w:rsidRDefault="0061210F" w:rsidP="007E2115">
      <w:pPr>
        <w:pStyle w:val="Paragraphedeliste"/>
        <w:spacing w:before="120" w:line="240" w:lineRule="auto"/>
        <w:ind w:left="-709"/>
        <w:jc w:val="both"/>
        <w:rPr>
          <w:sz w:val="18"/>
          <w:szCs w:val="18"/>
        </w:rPr>
      </w:pPr>
      <w:r w:rsidRPr="00C71D5F">
        <w:rPr>
          <w:noProof/>
          <w:sz w:val="18"/>
          <w:szCs w:val="18"/>
          <w:lang w:eastAsia="fr-FR"/>
        </w:rPr>
        <w:drawing>
          <wp:anchor distT="0" distB="0" distL="114300" distR="114300" simplePos="0" relativeHeight="251657216" behindDoc="1" locked="0" layoutInCell="1" allowOverlap="1" wp14:anchorId="421AF56B" wp14:editId="6E6F31EF">
            <wp:simplePos x="0" y="0"/>
            <wp:positionH relativeFrom="column">
              <wp:posOffset>-709295</wp:posOffset>
            </wp:positionH>
            <wp:positionV relativeFrom="paragraph">
              <wp:posOffset>215900</wp:posOffset>
            </wp:positionV>
            <wp:extent cx="5505450" cy="323850"/>
            <wp:effectExtent l="19050" t="0" r="0" b="0"/>
            <wp:wrapNone/>
            <wp:docPr id="19" name="Image 1" descr="K:\MOYENS GENERAUX\Organisation CDG\Logo Plan Charte graph\Charte graphique\courrier_pied_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OYENS GENERAUX\Organisation CDG\Logo Plan Charte graph\Charte graphique\courrier_pied_page.jpg"/>
                    <pic:cNvPicPr>
                      <a:picLocks noChangeAspect="1" noChangeArrowheads="1"/>
                    </pic:cNvPicPr>
                  </pic:nvPicPr>
                  <pic:blipFill>
                    <a:blip r:embed="rId9" cstate="print"/>
                    <a:srcRect/>
                    <a:stretch>
                      <a:fillRect/>
                    </a:stretch>
                  </pic:blipFill>
                  <pic:spPr bwMode="auto">
                    <a:xfrm>
                      <a:off x="0" y="0"/>
                      <a:ext cx="5505450" cy="323850"/>
                    </a:xfrm>
                    <a:prstGeom prst="rect">
                      <a:avLst/>
                    </a:prstGeom>
                    <a:noFill/>
                    <a:ln w="9525">
                      <a:noFill/>
                      <a:miter lim="800000"/>
                      <a:headEnd/>
                      <a:tailEnd/>
                    </a:ln>
                  </pic:spPr>
                </pic:pic>
              </a:graphicData>
            </a:graphic>
          </wp:anchor>
        </w:drawing>
      </w:r>
    </w:p>
    <w:p w14:paraId="108E4D0F" w14:textId="23C6447B" w:rsidR="007E2115" w:rsidRPr="00346758" w:rsidRDefault="007E2115" w:rsidP="007E2115">
      <w:pPr>
        <w:pStyle w:val="Paragraphedeliste"/>
        <w:spacing w:before="120" w:line="240" w:lineRule="auto"/>
        <w:ind w:left="-709"/>
        <w:jc w:val="both"/>
        <w:rPr>
          <w:sz w:val="18"/>
          <w:szCs w:val="18"/>
        </w:rPr>
      </w:pPr>
    </w:p>
    <w:sectPr w:rsidR="007E2115" w:rsidRPr="00346758" w:rsidSect="007E2115">
      <w:pgSz w:w="11906" w:h="16838"/>
      <w:pgMar w:top="851" w:right="70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9EC9BC" w14:textId="77777777" w:rsidR="00362192" w:rsidRDefault="00362192" w:rsidP="00582512">
      <w:pPr>
        <w:spacing w:after="0" w:line="240" w:lineRule="auto"/>
      </w:pPr>
      <w:r>
        <w:separator/>
      </w:r>
    </w:p>
  </w:endnote>
  <w:endnote w:type="continuationSeparator" w:id="0">
    <w:p w14:paraId="118331A5" w14:textId="77777777" w:rsidR="00362192" w:rsidRDefault="00362192" w:rsidP="0058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 w:name="MyriadPro-It">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9608" w14:textId="77777777" w:rsidR="00362192" w:rsidRDefault="00362192" w:rsidP="00582512">
      <w:pPr>
        <w:spacing w:after="0" w:line="240" w:lineRule="auto"/>
      </w:pPr>
      <w:r>
        <w:separator/>
      </w:r>
    </w:p>
  </w:footnote>
  <w:footnote w:type="continuationSeparator" w:id="0">
    <w:p w14:paraId="0AC152CE" w14:textId="77777777" w:rsidR="00362192" w:rsidRDefault="00362192" w:rsidP="005825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A07FE"/>
    <w:multiLevelType w:val="hybridMultilevel"/>
    <w:tmpl w:val="88E6768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88D57EE"/>
    <w:multiLevelType w:val="hybridMultilevel"/>
    <w:tmpl w:val="103E6D30"/>
    <w:lvl w:ilvl="0" w:tplc="040C000D">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5AB51E9A"/>
    <w:multiLevelType w:val="hybridMultilevel"/>
    <w:tmpl w:val="7F8240E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22658811">
    <w:abstractNumId w:val="2"/>
  </w:num>
  <w:num w:numId="2" w16cid:durableId="958951551">
    <w:abstractNumId w:val="0"/>
  </w:num>
  <w:num w:numId="3" w16cid:durableId="170682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61173"/>
    <w:rsid w:val="00045687"/>
    <w:rsid w:val="000A11CC"/>
    <w:rsid w:val="000A3BBA"/>
    <w:rsid w:val="00107AD0"/>
    <w:rsid w:val="00140DE7"/>
    <w:rsid w:val="00142403"/>
    <w:rsid w:val="0018076E"/>
    <w:rsid w:val="001B5770"/>
    <w:rsid w:val="001C0697"/>
    <w:rsid w:val="001D13EF"/>
    <w:rsid w:val="002026C9"/>
    <w:rsid w:val="002457A7"/>
    <w:rsid w:val="00270D7D"/>
    <w:rsid w:val="00285043"/>
    <w:rsid w:val="002909DD"/>
    <w:rsid w:val="002F5898"/>
    <w:rsid w:val="0031049F"/>
    <w:rsid w:val="0031690B"/>
    <w:rsid w:val="003438B5"/>
    <w:rsid w:val="00346758"/>
    <w:rsid w:val="00362192"/>
    <w:rsid w:val="003929D4"/>
    <w:rsid w:val="003A16BF"/>
    <w:rsid w:val="003D1ED7"/>
    <w:rsid w:val="003E7884"/>
    <w:rsid w:val="00444316"/>
    <w:rsid w:val="00461173"/>
    <w:rsid w:val="0046129F"/>
    <w:rsid w:val="004936D9"/>
    <w:rsid w:val="004A5652"/>
    <w:rsid w:val="004B1A02"/>
    <w:rsid w:val="004D0E29"/>
    <w:rsid w:val="00503B5B"/>
    <w:rsid w:val="005042F3"/>
    <w:rsid w:val="00504A14"/>
    <w:rsid w:val="00512318"/>
    <w:rsid w:val="0054032F"/>
    <w:rsid w:val="00540931"/>
    <w:rsid w:val="00561AB8"/>
    <w:rsid w:val="00582512"/>
    <w:rsid w:val="005A37D0"/>
    <w:rsid w:val="005A7329"/>
    <w:rsid w:val="0061210F"/>
    <w:rsid w:val="00620850"/>
    <w:rsid w:val="006270C4"/>
    <w:rsid w:val="006358CF"/>
    <w:rsid w:val="006418F7"/>
    <w:rsid w:val="00670C7F"/>
    <w:rsid w:val="00674A5A"/>
    <w:rsid w:val="006C4E11"/>
    <w:rsid w:val="006C634B"/>
    <w:rsid w:val="00726C1A"/>
    <w:rsid w:val="00763D1E"/>
    <w:rsid w:val="00773523"/>
    <w:rsid w:val="0079450C"/>
    <w:rsid w:val="007A09F8"/>
    <w:rsid w:val="007A16DC"/>
    <w:rsid w:val="007A5E05"/>
    <w:rsid w:val="007E2115"/>
    <w:rsid w:val="00800E45"/>
    <w:rsid w:val="00834AF0"/>
    <w:rsid w:val="00847FD6"/>
    <w:rsid w:val="0085254A"/>
    <w:rsid w:val="008946F9"/>
    <w:rsid w:val="00927A79"/>
    <w:rsid w:val="00944EEF"/>
    <w:rsid w:val="00971AE2"/>
    <w:rsid w:val="00990E17"/>
    <w:rsid w:val="009C2517"/>
    <w:rsid w:val="00A16CCD"/>
    <w:rsid w:val="00A30808"/>
    <w:rsid w:val="00A4499A"/>
    <w:rsid w:val="00A97437"/>
    <w:rsid w:val="00AC523A"/>
    <w:rsid w:val="00B707DE"/>
    <w:rsid w:val="00B740ED"/>
    <w:rsid w:val="00B875A8"/>
    <w:rsid w:val="00BA690B"/>
    <w:rsid w:val="00BC2997"/>
    <w:rsid w:val="00BC33C0"/>
    <w:rsid w:val="00BC52AC"/>
    <w:rsid w:val="00BD1857"/>
    <w:rsid w:val="00BF3A7C"/>
    <w:rsid w:val="00C24F3E"/>
    <w:rsid w:val="00C35DCF"/>
    <w:rsid w:val="00C43CA5"/>
    <w:rsid w:val="00C70B79"/>
    <w:rsid w:val="00C71D5F"/>
    <w:rsid w:val="00CA08EF"/>
    <w:rsid w:val="00CC5064"/>
    <w:rsid w:val="00CC7518"/>
    <w:rsid w:val="00CE0690"/>
    <w:rsid w:val="00CE228C"/>
    <w:rsid w:val="00CE22D2"/>
    <w:rsid w:val="00CF0D82"/>
    <w:rsid w:val="00D32BD2"/>
    <w:rsid w:val="00D46511"/>
    <w:rsid w:val="00D61BBA"/>
    <w:rsid w:val="00D71FFF"/>
    <w:rsid w:val="00D75272"/>
    <w:rsid w:val="00DB3C5D"/>
    <w:rsid w:val="00DD0CFC"/>
    <w:rsid w:val="00E84046"/>
    <w:rsid w:val="00E84C7D"/>
    <w:rsid w:val="00EC1DA6"/>
    <w:rsid w:val="00EC776F"/>
    <w:rsid w:val="00EF2657"/>
    <w:rsid w:val="00EF608C"/>
    <w:rsid w:val="00F23052"/>
    <w:rsid w:val="00F242EA"/>
    <w:rsid w:val="00F60C3B"/>
    <w:rsid w:val="00F6102F"/>
    <w:rsid w:val="00F87E2E"/>
    <w:rsid w:val="00F94E89"/>
    <w:rsid w:val="00FB0D7F"/>
    <w:rsid w:val="00FB3E9D"/>
    <w:rsid w:val="00FB6C17"/>
    <w:rsid w:val="00FF08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9D4A1"/>
  <w15:docId w15:val="{03782818-276B-4625-99D4-4ECAABB3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D1E"/>
  </w:style>
  <w:style w:type="paragraph" w:styleId="Titre1">
    <w:name w:val="heading 1"/>
    <w:basedOn w:val="Normal"/>
    <w:next w:val="Normal"/>
    <w:link w:val="Titre1Car"/>
    <w:uiPriority w:val="9"/>
    <w:qFormat/>
    <w:rsid w:val="0054032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re8">
    <w:name w:val="heading 8"/>
    <w:basedOn w:val="Normal"/>
    <w:next w:val="Normal"/>
    <w:link w:val="Titre8Car"/>
    <w:uiPriority w:val="9"/>
    <w:unhideWhenUsed/>
    <w:qFormat/>
    <w:rsid w:val="00FB0D7F"/>
    <w:pPr>
      <w:keepNext/>
      <w:keepLines/>
      <w:spacing w:before="200" w:after="0"/>
      <w:outlineLvl w:val="7"/>
    </w:pPr>
    <w:rPr>
      <w:rFonts w:asciiTheme="majorHAnsi" w:eastAsiaTheme="majorEastAsia" w:hAnsiTheme="majorHAnsi" w:cstheme="majorBidi"/>
      <w:color w:val="404040" w:themeColor="text1" w:themeTint="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46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461173"/>
    <w:pPr>
      <w:ind w:left="720"/>
      <w:contextualSpacing/>
    </w:pPr>
  </w:style>
  <w:style w:type="paragraph" w:styleId="En-tte">
    <w:name w:val="header"/>
    <w:basedOn w:val="Normal"/>
    <w:link w:val="En-tteCar"/>
    <w:uiPriority w:val="99"/>
    <w:semiHidden/>
    <w:unhideWhenUsed/>
    <w:rsid w:val="00582512"/>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582512"/>
  </w:style>
  <w:style w:type="paragraph" w:styleId="Pieddepage">
    <w:name w:val="footer"/>
    <w:basedOn w:val="Normal"/>
    <w:link w:val="PieddepageCar"/>
    <w:uiPriority w:val="99"/>
    <w:semiHidden/>
    <w:unhideWhenUsed/>
    <w:rsid w:val="00582512"/>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582512"/>
  </w:style>
  <w:style w:type="paragraph" w:styleId="Textedebulles">
    <w:name w:val="Balloon Text"/>
    <w:basedOn w:val="Normal"/>
    <w:link w:val="TextedebullesCar"/>
    <w:uiPriority w:val="99"/>
    <w:semiHidden/>
    <w:unhideWhenUsed/>
    <w:rsid w:val="00AC52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523A"/>
    <w:rPr>
      <w:rFonts w:ascii="Tahoma" w:hAnsi="Tahoma" w:cs="Tahoma"/>
      <w:sz w:val="16"/>
      <w:szCs w:val="16"/>
    </w:rPr>
  </w:style>
  <w:style w:type="character" w:customStyle="1" w:styleId="Titre8Car">
    <w:name w:val="Titre 8 Car"/>
    <w:basedOn w:val="Policepardfaut"/>
    <w:link w:val="Titre8"/>
    <w:uiPriority w:val="9"/>
    <w:rsid w:val="00FB0D7F"/>
    <w:rPr>
      <w:rFonts w:asciiTheme="majorHAnsi" w:eastAsiaTheme="majorEastAsia" w:hAnsiTheme="majorHAnsi" w:cstheme="majorBidi"/>
      <w:color w:val="404040" w:themeColor="text1" w:themeTint="BF"/>
      <w:sz w:val="20"/>
      <w:szCs w:val="20"/>
      <w:lang w:eastAsia="fr-FR"/>
    </w:rPr>
  </w:style>
  <w:style w:type="character" w:styleId="lev">
    <w:name w:val="Strong"/>
    <w:basedOn w:val="Policepardfaut"/>
    <w:uiPriority w:val="22"/>
    <w:qFormat/>
    <w:rsid w:val="00BC2997"/>
    <w:rPr>
      <w:b/>
      <w:bCs/>
    </w:rPr>
  </w:style>
  <w:style w:type="character" w:customStyle="1" w:styleId="Titre1Car">
    <w:name w:val="Titre 1 Car"/>
    <w:basedOn w:val="Policepardfaut"/>
    <w:link w:val="Titre1"/>
    <w:uiPriority w:val="9"/>
    <w:rsid w:val="0054032F"/>
    <w:rPr>
      <w:rFonts w:asciiTheme="majorHAnsi" w:eastAsiaTheme="majorEastAsia" w:hAnsiTheme="majorHAnsi" w:cstheme="majorBidi"/>
      <w:color w:val="365F91" w:themeColor="accent1" w:themeShade="BF"/>
      <w:sz w:val="32"/>
      <w:szCs w:val="32"/>
    </w:rPr>
  </w:style>
  <w:style w:type="table" w:styleId="TableauGrille5Fonc-Accentuation2">
    <w:name w:val="Grid Table 5 Dark Accent 2"/>
    <w:basedOn w:val="TableauNormal"/>
    <w:uiPriority w:val="50"/>
    <w:rsid w:val="003467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306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3636</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F</dc:creator>
  <cp:lastModifiedBy>Dorothée LEVILLAIN</cp:lastModifiedBy>
  <cp:revision>9</cp:revision>
  <cp:lastPrinted>2017-08-16T12:30:00Z</cp:lastPrinted>
  <dcterms:created xsi:type="dcterms:W3CDTF">2021-01-15T10:11:00Z</dcterms:created>
  <dcterms:modified xsi:type="dcterms:W3CDTF">2023-01-10T10:09:00Z</dcterms:modified>
</cp:coreProperties>
</file>