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F9D3" w14:textId="77777777" w:rsidR="00BE1109" w:rsidRDefault="00BE1109" w:rsidP="00BE1109">
      <w:pPr>
        <w:spacing w:before="0" w:after="0"/>
        <w:jc w:val="center"/>
        <w:rPr>
          <w:b/>
        </w:rPr>
      </w:pPr>
      <w:r w:rsidRPr="00BE1109">
        <w:rPr>
          <w:b/>
          <w:bCs/>
        </w:rPr>
        <w:t xml:space="preserve">CONVENTION </w:t>
      </w:r>
      <w:r w:rsidRPr="00BE1109">
        <w:rPr>
          <w:b/>
        </w:rPr>
        <w:t>PORTANT ADHESION AU</w:t>
      </w:r>
      <w:r>
        <w:rPr>
          <w:b/>
        </w:rPr>
        <w:t>X PRESTATIONS</w:t>
      </w:r>
    </w:p>
    <w:p w14:paraId="10FCD717" w14:textId="77777777" w:rsidR="00BE1109" w:rsidRDefault="005906BC" w:rsidP="00BE1109">
      <w:pPr>
        <w:spacing w:before="0" w:after="0"/>
        <w:jc w:val="center"/>
        <w:rPr>
          <w:b/>
        </w:rPr>
      </w:pPr>
      <w:r>
        <w:rPr>
          <w:b/>
        </w:rPr>
        <w:t>GESTION DU CONTRAT D’ASSURANCE STATUTAIRE</w:t>
      </w:r>
    </w:p>
    <w:p w14:paraId="4ED4531D" w14:textId="77777777" w:rsidR="004A6A4E" w:rsidRDefault="00BE1109" w:rsidP="00BE1109">
      <w:pPr>
        <w:spacing w:before="0" w:after="0"/>
        <w:jc w:val="center"/>
      </w:pPr>
      <w:r w:rsidRPr="00BE1109">
        <w:rPr>
          <w:b/>
        </w:rPr>
        <w:t>DU CENTRE DE GESTION DE L'ORNE</w:t>
      </w:r>
    </w:p>
    <w:p w14:paraId="42855D7F" w14:textId="77777777" w:rsidR="00BE1109" w:rsidRDefault="00BE1109" w:rsidP="00BE1109">
      <w:pPr>
        <w:spacing w:before="0" w:after="0"/>
      </w:pPr>
    </w:p>
    <w:p w14:paraId="1160A270" w14:textId="77777777" w:rsidR="00BE1109" w:rsidRDefault="00BE1109" w:rsidP="00BE1109">
      <w:pPr>
        <w:spacing w:before="0" w:after="0"/>
      </w:pPr>
    </w:p>
    <w:p w14:paraId="4344593C" w14:textId="77777777" w:rsidR="00BE1109" w:rsidRPr="00BE1109" w:rsidRDefault="00BE1109" w:rsidP="00BE1109">
      <w:pPr>
        <w:spacing w:before="0" w:after="0"/>
      </w:pPr>
    </w:p>
    <w:p w14:paraId="302035A1" w14:textId="77777777" w:rsidR="00BE1109" w:rsidRPr="00BE1109" w:rsidRDefault="00BE1109" w:rsidP="00BE1109">
      <w:pPr>
        <w:spacing w:before="0" w:after="0"/>
        <w:rPr>
          <w:bCs/>
        </w:rPr>
      </w:pPr>
      <w:r w:rsidRPr="00BE1109">
        <w:rPr>
          <w:bCs/>
        </w:rPr>
        <w:t xml:space="preserve">Entre le </w:t>
      </w:r>
      <w:r w:rsidRPr="00BE1109">
        <w:rPr>
          <w:b/>
          <w:bCs/>
        </w:rPr>
        <w:t xml:space="preserve">CENTRE DE GESTION DE L’ORNE </w:t>
      </w:r>
      <w:r w:rsidRPr="00BE1109">
        <w:rPr>
          <w:bCs/>
        </w:rPr>
        <w:t>(CDG 61)</w:t>
      </w:r>
      <w:r w:rsidRPr="00BE1109">
        <w:rPr>
          <w:b/>
          <w:bCs/>
        </w:rPr>
        <w:t>,</w:t>
      </w:r>
      <w:r w:rsidRPr="00BE1109">
        <w:rPr>
          <w:bCs/>
        </w:rPr>
        <w:t xml:space="preserve"> représenté par son Président</w:t>
      </w:r>
      <w:r w:rsidR="00A76017">
        <w:rPr>
          <w:bCs/>
        </w:rPr>
        <w:t>,</w:t>
      </w:r>
      <w:r w:rsidRPr="00BE1109">
        <w:rPr>
          <w:bCs/>
        </w:rPr>
        <w:t xml:space="preserve"> Monsieur </w:t>
      </w:r>
      <w:r w:rsidR="008C1F03">
        <w:rPr>
          <w:bCs/>
        </w:rPr>
        <w:t>Francis AÏVAR</w:t>
      </w:r>
      <w:r w:rsidRPr="00BE1109">
        <w:rPr>
          <w:bCs/>
        </w:rPr>
        <w:t>, d’une part,</w:t>
      </w:r>
    </w:p>
    <w:p w14:paraId="5EB62B5E" w14:textId="77777777" w:rsidR="00BE1109" w:rsidRPr="00BE1109" w:rsidRDefault="00BE1109" w:rsidP="00BE1109">
      <w:pPr>
        <w:spacing w:before="0" w:after="0"/>
        <w:rPr>
          <w:bCs/>
        </w:rPr>
      </w:pPr>
    </w:p>
    <w:p w14:paraId="0DAA92BD" w14:textId="77777777" w:rsidR="00BE1109" w:rsidRPr="00BE1109" w:rsidRDefault="00BE1109" w:rsidP="00BE1109">
      <w:pPr>
        <w:spacing w:before="0" w:after="0"/>
        <w:rPr>
          <w:bCs/>
        </w:rPr>
      </w:pPr>
      <w:r w:rsidRPr="00BE1109">
        <w:rPr>
          <w:bCs/>
        </w:rPr>
        <w:t xml:space="preserve">Et la </w:t>
      </w:r>
      <w:r w:rsidR="005906BC">
        <w:rPr>
          <w:b/>
          <w:bCs/>
        </w:rPr>
        <w:t>Collectivité</w:t>
      </w:r>
      <w:r w:rsidRPr="00BE1109">
        <w:rPr>
          <w:bCs/>
        </w:rPr>
        <w:t xml:space="preserve"> </w:t>
      </w:r>
      <w:r w:rsidRPr="005A6643">
        <w:rPr>
          <w:highlight w:val="yellow"/>
        </w:rPr>
        <w:t>(la collectivité)</w:t>
      </w:r>
      <w:r w:rsidRPr="00BE1109">
        <w:rPr>
          <w:bCs/>
        </w:rPr>
        <w:t xml:space="preserve">, représentée par son </w:t>
      </w:r>
      <w:r w:rsidR="00A76017">
        <w:rPr>
          <w:bCs/>
        </w:rPr>
        <w:t>Maire</w:t>
      </w:r>
      <w:r w:rsidR="005906BC">
        <w:rPr>
          <w:bCs/>
        </w:rPr>
        <w:t>/Président</w:t>
      </w:r>
      <w:r w:rsidR="00A76017">
        <w:rPr>
          <w:bCs/>
        </w:rPr>
        <w:t>,</w:t>
      </w:r>
      <w:r w:rsidRPr="00BE1109">
        <w:rPr>
          <w:bCs/>
        </w:rPr>
        <w:t xml:space="preserve"> </w:t>
      </w:r>
      <w:r w:rsidR="005906BC">
        <w:rPr>
          <w:bCs/>
        </w:rPr>
        <w:t>Madame/</w:t>
      </w:r>
      <w:r w:rsidRPr="00BE1109">
        <w:rPr>
          <w:bCs/>
        </w:rPr>
        <w:t xml:space="preserve">Monsieur </w:t>
      </w:r>
      <w:r w:rsidR="005906BC">
        <w:rPr>
          <w:bCs/>
        </w:rPr>
        <w:t>Prénom</w:t>
      </w:r>
      <w:r w:rsidR="00A76017">
        <w:rPr>
          <w:bCs/>
        </w:rPr>
        <w:t xml:space="preserve"> </w:t>
      </w:r>
      <w:r w:rsidR="005906BC">
        <w:rPr>
          <w:bCs/>
        </w:rPr>
        <w:t>NOM</w:t>
      </w:r>
      <w:r w:rsidRPr="00BE1109">
        <w:rPr>
          <w:bCs/>
        </w:rPr>
        <w:t>, d’autre part,</w:t>
      </w:r>
    </w:p>
    <w:p w14:paraId="63CC0B1D" w14:textId="77777777" w:rsidR="00BE1109" w:rsidRPr="00BE1109" w:rsidRDefault="00BE1109" w:rsidP="00BE1109">
      <w:pPr>
        <w:spacing w:before="0" w:after="0"/>
      </w:pPr>
    </w:p>
    <w:p w14:paraId="25D3490E" w14:textId="77777777" w:rsidR="00BE1109" w:rsidRDefault="00BE1109" w:rsidP="00BE1109">
      <w:pPr>
        <w:spacing w:before="0" w:after="0"/>
      </w:pPr>
      <w:r w:rsidRPr="00BE1109">
        <w:t xml:space="preserve">Vu la Loi n° 84-53 du 26 janvier 1984 modifiée portant dispositions statutaires relatives à la fonction publique territoriale (article </w:t>
      </w:r>
      <w:r w:rsidR="005906BC">
        <w:t>26</w:t>
      </w:r>
      <w:r w:rsidRPr="00BE1109">
        <w:t>),</w:t>
      </w:r>
    </w:p>
    <w:p w14:paraId="35A658AE" w14:textId="77777777" w:rsidR="005906BC" w:rsidRDefault="00BE1109" w:rsidP="00BE1109">
      <w:pPr>
        <w:spacing w:before="0" w:after="0"/>
      </w:pPr>
      <w:r w:rsidRPr="00BE1109">
        <w:t>Vu le Décret n° 8</w:t>
      </w:r>
      <w:r w:rsidR="005906BC">
        <w:t xml:space="preserve">6-552 du 14 mars 1986 </w:t>
      </w:r>
      <w:r w:rsidR="005906BC" w:rsidRPr="005906BC">
        <w:t xml:space="preserve">pris pour l'application de l'art. 26 (al. 2) de la loi </w:t>
      </w:r>
      <w:r w:rsidR="005906BC">
        <w:t>n°</w:t>
      </w:r>
      <w:r w:rsidR="005906BC" w:rsidRPr="005906BC">
        <w:t>84</w:t>
      </w:r>
      <w:r w:rsidR="005906BC">
        <w:t>-</w:t>
      </w:r>
      <w:r w:rsidR="005906BC" w:rsidRPr="005906BC">
        <w:t>53 du 26</w:t>
      </w:r>
      <w:r w:rsidR="005906BC">
        <w:t xml:space="preserve"> janvier 1</w:t>
      </w:r>
      <w:r w:rsidR="005906BC" w:rsidRPr="005906BC">
        <w:t>984 et relatif aux contrats d'assurances souscrits par les centres départementaux de gestion pour le compte des collectivités locales et établissements territoriaux</w:t>
      </w:r>
      <w:r w:rsidR="00A177EA">
        <w:t>,</w:t>
      </w:r>
    </w:p>
    <w:p w14:paraId="49A4E6B3" w14:textId="14BF52B0" w:rsidR="00BE1109" w:rsidRPr="00464CFB" w:rsidRDefault="00BE1109" w:rsidP="00464CFB">
      <w:pPr>
        <w:kinsoku w:val="0"/>
        <w:overflowPunct w:val="0"/>
        <w:spacing w:line="336" w:lineRule="exact"/>
        <w:textAlignment w:val="baseline"/>
        <w:rPr>
          <w:rFonts w:cs="Verdana"/>
          <w:b/>
          <w:bCs/>
          <w:sz w:val="24"/>
        </w:rPr>
      </w:pPr>
      <w:r w:rsidRPr="00BE1109">
        <w:t xml:space="preserve">Vu la </w:t>
      </w:r>
      <w:r w:rsidRPr="00D81D9C">
        <w:t xml:space="preserve">délibération </w:t>
      </w:r>
      <w:r w:rsidR="005906BC" w:rsidRPr="00D81D9C">
        <w:t xml:space="preserve">n° </w:t>
      </w:r>
      <w:r w:rsidR="00464CFB" w:rsidRPr="00D81D9C">
        <w:rPr>
          <w:rFonts w:cs="Verdana"/>
          <w:bCs/>
          <w:szCs w:val="20"/>
        </w:rPr>
        <w:t>20</w:t>
      </w:r>
      <w:r w:rsidR="008C1F03" w:rsidRPr="00D81D9C">
        <w:rPr>
          <w:rFonts w:cs="Verdana"/>
          <w:bCs/>
          <w:szCs w:val="20"/>
        </w:rPr>
        <w:t>2</w:t>
      </w:r>
      <w:r w:rsidR="00D81D9C" w:rsidRPr="00D81D9C">
        <w:rPr>
          <w:rFonts w:cs="Verdana"/>
          <w:bCs/>
          <w:szCs w:val="20"/>
        </w:rPr>
        <w:t>3/06/1</w:t>
      </w:r>
      <w:r w:rsidR="00464CFB" w:rsidRPr="00D81D9C">
        <w:rPr>
          <w:rFonts w:cs="Verdana"/>
          <w:b/>
          <w:bCs/>
          <w:sz w:val="24"/>
        </w:rPr>
        <w:t xml:space="preserve"> </w:t>
      </w:r>
      <w:r w:rsidR="005906BC" w:rsidRPr="00D81D9C">
        <w:t xml:space="preserve">du </w:t>
      </w:r>
      <w:r w:rsidR="005A2FBF">
        <w:t>8 juin 2023</w:t>
      </w:r>
      <w:r w:rsidR="005906BC">
        <w:t xml:space="preserve"> </w:t>
      </w:r>
      <w:r w:rsidRPr="00BE1109">
        <w:t>du con</w:t>
      </w:r>
      <w:r w:rsidR="00DC46CD">
        <w:t>seil d’administration du CDG 61,</w:t>
      </w:r>
    </w:p>
    <w:p w14:paraId="5633328C" w14:textId="77777777" w:rsidR="00DC46CD" w:rsidRPr="00BE1109" w:rsidRDefault="00DC46CD" w:rsidP="00BE1109">
      <w:pPr>
        <w:spacing w:before="0" w:after="0"/>
      </w:pPr>
      <w:r>
        <w:t>Vu le certificat d’adhésion au contrat groupe d’assurance statutaire du Centre de gestion de l’Orne signé pa</w:t>
      </w:r>
      <w:r w:rsidR="006E2A83">
        <w:t>r la collectivité/établissement.</w:t>
      </w:r>
    </w:p>
    <w:p w14:paraId="052716AE" w14:textId="77777777" w:rsidR="00BE1109" w:rsidRPr="00BE1109" w:rsidRDefault="00BE1109" w:rsidP="00BE1109">
      <w:pPr>
        <w:spacing w:before="0" w:after="0"/>
      </w:pPr>
    </w:p>
    <w:p w14:paraId="479DC151" w14:textId="77777777" w:rsidR="00BE1109" w:rsidRPr="00BE1109" w:rsidRDefault="00BE1109" w:rsidP="00BE1109">
      <w:pPr>
        <w:spacing w:before="0" w:after="0"/>
      </w:pPr>
      <w:r w:rsidRPr="00BE1109">
        <w:t>Il est convenu ce qui suit :</w:t>
      </w:r>
    </w:p>
    <w:p w14:paraId="0A0E0B6F" w14:textId="77777777" w:rsidR="00BE1109" w:rsidRDefault="00BE1109" w:rsidP="00BE1109">
      <w:pPr>
        <w:spacing w:before="0" w:after="0"/>
      </w:pPr>
    </w:p>
    <w:p w14:paraId="57D94DFB" w14:textId="77777777" w:rsidR="008C1F03" w:rsidRDefault="008C1F03" w:rsidP="00BE1109">
      <w:pPr>
        <w:spacing w:before="0" w:after="0"/>
      </w:pPr>
    </w:p>
    <w:p w14:paraId="469179EA" w14:textId="77777777" w:rsidR="00BE1109" w:rsidRPr="00BE1109" w:rsidRDefault="00BE1109" w:rsidP="00BE1109">
      <w:pPr>
        <w:spacing w:before="0" w:after="0"/>
      </w:pPr>
      <w:r w:rsidRPr="009C2B2E">
        <w:rPr>
          <w:b/>
        </w:rPr>
        <w:t>Préambule :</w:t>
      </w:r>
      <w:r w:rsidRPr="009C2B2E">
        <w:rPr>
          <w:b/>
          <w:i/>
        </w:rPr>
        <w:t xml:space="preserve"> </w:t>
      </w:r>
      <w:r w:rsidRPr="009C2B2E">
        <w:t xml:space="preserve">La présente convention précise les conditions d’utilisation des prestations </w:t>
      </w:r>
      <w:r w:rsidR="005906BC" w:rsidRPr="009C2B2E">
        <w:t>d</w:t>
      </w:r>
      <w:r w:rsidR="00CB5EEC">
        <w:t>e</w:t>
      </w:r>
      <w:r w:rsidR="005906BC" w:rsidRPr="009C2B2E">
        <w:t xml:space="preserve"> gestion du</w:t>
      </w:r>
      <w:r w:rsidR="005906BC">
        <w:t xml:space="preserve"> contrat d’assurance statutaire</w:t>
      </w:r>
      <w:r w:rsidRPr="00BE1109">
        <w:t xml:space="preserve"> du CDG 61.</w:t>
      </w:r>
    </w:p>
    <w:p w14:paraId="55FED6C8" w14:textId="77777777" w:rsidR="00BE1109" w:rsidRDefault="00BE1109" w:rsidP="00BE1109">
      <w:pPr>
        <w:spacing w:before="0" w:after="0"/>
      </w:pPr>
    </w:p>
    <w:p w14:paraId="2C828927" w14:textId="77777777" w:rsidR="008C1F03" w:rsidRPr="00BE1109" w:rsidRDefault="008C1F03" w:rsidP="00BE1109">
      <w:pPr>
        <w:spacing w:before="0" w:after="0"/>
      </w:pPr>
    </w:p>
    <w:p w14:paraId="26D4767C" w14:textId="77777777" w:rsidR="009C2B2E" w:rsidRPr="009C2B2E" w:rsidRDefault="00BE1109" w:rsidP="00BE1109">
      <w:pPr>
        <w:spacing w:before="0" w:after="0"/>
        <w:rPr>
          <w:b/>
        </w:rPr>
      </w:pPr>
      <w:r w:rsidRPr="009C2B2E">
        <w:rPr>
          <w:b/>
          <w:bCs/>
        </w:rPr>
        <w:t>Article 1 – Objet</w:t>
      </w:r>
    </w:p>
    <w:p w14:paraId="3FD23A4E" w14:textId="77777777" w:rsidR="00BE1109" w:rsidRPr="00BE1109" w:rsidRDefault="009C2B2E" w:rsidP="00BE1109">
      <w:pPr>
        <w:spacing w:before="0" w:after="0"/>
      </w:pPr>
      <w:r>
        <w:t>L</w:t>
      </w:r>
      <w:r w:rsidR="00BE1109" w:rsidRPr="00BE1109">
        <w:rPr>
          <w:bCs/>
        </w:rPr>
        <w:t>a collectivité</w:t>
      </w:r>
      <w:r w:rsidR="00BE1109" w:rsidRPr="00BE1109">
        <w:t xml:space="preserve"> bénéficie </w:t>
      </w:r>
      <w:r w:rsidR="00A177EA">
        <w:t>de l’accompagnement du centre de gestion pour le suivi des contrats et la gestion des prestations d’assurance statutaire des agents</w:t>
      </w:r>
      <w:r w:rsidR="00BE1109" w:rsidRPr="00BE1109">
        <w:t>.</w:t>
      </w:r>
    </w:p>
    <w:p w14:paraId="7F139235" w14:textId="77777777" w:rsidR="00BE1109" w:rsidRDefault="00BE1109" w:rsidP="00BE1109">
      <w:pPr>
        <w:spacing w:before="0" w:after="0"/>
      </w:pPr>
    </w:p>
    <w:p w14:paraId="2CDCED39" w14:textId="77777777" w:rsidR="009C2B2E" w:rsidRPr="009C2B2E" w:rsidRDefault="009C2B2E" w:rsidP="00BE1109">
      <w:pPr>
        <w:spacing w:before="0" w:after="0"/>
        <w:rPr>
          <w:b/>
        </w:rPr>
      </w:pPr>
      <w:r w:rsidRPr="009C2B2E">
        <w:rPr>
          <w:b/>
        </w:rPr>
        <w:t>Article 2 – Engagement</w:t>
      </w:r>
      <w:r>
        <w:rPr>
          <w:b/>
        </w:rPr>
        <w:t>s</w:t>
      </w:r>
      <w:r w:rsidRPr="009C2B2E">
        <w:rPr>
          <w:b/>
        </w:rPr>
        <w:t xml:space="preserve"> du Centre de gestion</w:t>
      </w:r>
    </w:p>
    <w:p w14:paraId="328561D3" w14:textId="77777777" w:rsidR="009C2B2E" w:rsidRDefault="009C2B2E" w:rsidP="00BE1109">
      <w:pPr>
        <w:spacing w:before="0" w:after="0"/>
      </w:pPr>
    </w:p>
    <w:p w14:paraId="4206A562" w14:textId="77777777" w:rsidR="00664C83" w:rsidRPr="009C2B2E" w:rsidRDefault="00664C83" w:rsidP="00BE1109">
      <w:pPr>
        <w:spacing w:before="0" w:after="0"/>
        <w:rPr>
          <w:b/>
        </w:rPr>
      </w:pPr>
      <w:r w:rsidRPr="009C2B2E">
        <w:rPr>
          <w:b/>
        </w:rPr>
        <w:t>Article 2</w:t>
      </w:r>
      <w:r w:rsidR="009C2B2E">
        <w:rPr>
          <w:b/>
        </w:rPr>
        <w:t>-1</w:t>
      </w:r>
      <w:r w:rsidRPr="009C2B2E">
        <w:rPr>
          <w:b/>
        </w:rPr>
        <w:t xml:space="preserve"> </w:t>
      </w:r>
      <w:r w:rsidR="009C2B2E" w:rsidRPr="009C2B2E">
        <w:rPr>
          <w:b/>
        </w:rPr>
        <w:t>– Négociation du marché</w:t>
      </w:r>
    </w:p>
    <w:p w14:paraId="14037041" w14:textId="77777777" w:rsidR="00664C83" w:rsidRDefault="009C2B2E" w:rsidP="00BE1109">
      <w:pPr>
        <w:spacing w:before="0" w:after="0"/>
      </w:pPr>
      <w:r>
        <w:t>L</w:t>
      </w:r>
      <w:r w:rsidRPr="009C2B2E">
        <w:t xml:space="preserve">e Centre de gestion l’Orne </w:t>
      </w:r>
      <w:r>
        <w:t xml:space="preserve">négocie et </w:t>
      </w:r>
      <w:r w:rsidRPr="009C2B2E">
        <w:t>souscri</w:t>
      </w:r>
      <w:r>
        <w:t>t</w:t>
      </w:r>
      <w:r w:rsidRPr="009C2B2E">
        <w:t xml:space="preserve"> pour </w:t>
      </w:r>
      <w:r>
        <w:t>le</w:t>
      </w:r>
      <w:r w:rsidRPr="009C2B2E">
        <w:t xml:space="preserve"> compte</w:t>
      </w:r>
      <w:r>
        <w:t xml:space="preserve"> de la collectivité</w:t>
      </w:r>
      <w:r w:rsidRPr="009C2B2E">
        <w:t xml:space="preserve"> un contrat d’assurance statutaire garantissant les frais laissés à sa charge, en vertu de l’application des textes régissant le statut de ses agents</w:t>
      </w:r>
      <w:r>
        <w:t>.</w:t>
      </w:r>
    </w:p>
    <w:p w14:paraId="62F6244F" w14:textId="77777777" w:rsidR="00664C83" w:rsidRPr="00BE1109" w:rsidRDefault="00664C83" w:rsidP="00BE1109">
      <w:pPr>
        <w:spacing w:before="0" w:after="0"/>
      </w:pPr>
    </w:p>
    <w:p w14:paraId="17DBDB78" w14:textId="77777777" w:rsidR="009C2B2E" w:rsidRDefault="00BE1109" w:rsidP="00664C83">
      <w:pPr>
        <w:spacing w:before="0" w:after="0"/>
      </w:pPr>
      <w:r w:rsidRPr="009C2B2E">
        <w:rPr>
          <w:b/>
        </w:rPr>
        <w:t xml:space="preserve">Article </w:t>
      </w:r>
      <w:r w:rsidR="009C2B2E">
        <w:rPr>
          <w:b/>
        </w:rPr>
        <w:t>2-2</w:t>
      </w:r>
      <w:r w:rsidRPr="009C2B2E">
        <w:rPr>
          <w:b/>
        </w:rPr>
        <w:t xml:space="preserve"> –</w:t>
      </w:r>
      <w:r w:rsidRPr="009C2B2E">
        <w:t xml:space="preserve"> </w:t>
      </w:r>
      <w:r w:rsidR="009C2B2E">
        <w:rPr>
          <w:b/>
        </w:rPr>
        <w:t>Gestion du contrat</w:t>
      </w:r>
    </w:p>
    <w:p w14:paraId="687F4C3B" w14:textId="77777777" w:rsidR="00664C83" w:rsidRDefault="00664C83" w:rsidP="00664C83">
      <w:pPr>
        <w:spacing w:before="0" w:after="0"/>
      </w:pPr>
      <w:r w:rsidRPr="009C2B2E">
        <w:t>Dans le cadre de la gestion du marché, le Centre de Gestion</w:t>
      </w:r>
      <w:r w:rsidRPr="009D0206">
        <w:t xml:space="preserve"> met à la disposition de</w:t>
      </w:r>
      <w:r>
        <w:t xml:space="preserve"> la</w:t>
      </w:r>
      <w:r w:rsidRPr="009D0206">
        <w:t xml:space="preserve"> collectivité une équipe de professionnels pour assurer la gestion du contrat. </w:t>
      </w:r>
      <w:r>
        <w:t>Ainsi la</w:t>
      </w:r>
      <w:r w:rsidRPr="009D0206">
        <w:t xml:space="preserve"> collectivité </w:t>
      </w:r>
      <w:r>
        <w:t>dispose d’</w:t>
      </w:r>
      <w:r w:rsidRPr="00E26A64">
        <w:rPr>
          <w:b/>
        </w:rPr>
        <w:t>interlocuteur</w:t>
      </w:r>
      <w:r>
        <w:rPr>
          <w:b/>
        </w:rPr>
        <w:t>s</w:t>
      </w:r>
      <w:r w:rsidRPr="00E26A64">
        <w:rPr>
          <w:b/>
        </w:rPr>
        <w:t xml:space="preserve"> indépendant</w:t>
      </w:r>
      <w:r>
        <w:rPr>
          <w:b/>
        </w:rPr>
        <w:t>s</w:t>
      </w:r>
      <w:r w:rsidRPr="00E26A64">
        <w:rPr>
          <w:b/>
        </w:rPr>
        <w:t xml:space="preserve"> de l’assureur</w:t>
      </w:r>
      <w:r w:rsidRPr="009D0206">
        <w:t xml:space="preserve"> </w:t>
      </w:r>
      <w:r>
        <w:t>pour le suivi du contrat et la gestion des prestations</w:t>
      </w:r>
      <w:r w:rsidRPr="009D0206">
        <w:t>.</w:t>
      </w:r>
      <w:r>
        <w:t xml:space="preserve"> Le service assure :</w:t>
      </w:r>
    </w:p>
    <w:p w14:paraId="769C51C4" w14:textId="77777777" w:rsidR="00664C83" w:rsidRDefault="00664C83" w:rsidP="00664C83">
      <w:pPr>
        <w:pStyle w:val="Paragraphedeliste"/>
        <w:numPr>
          <w:ilvl w:val="0"/>
          <w:numId w:val="4"/>
        </w:numPr>
      </w:pPr>
      <w:proofErr w:type="gramStart"/>
      <w:r>
        <w:t>une</w:t>
      </w:r>
      <w:proofErr w:type="gramEnd"/>
      <w:r>
        <w:t xml:space="preserve"> </w:t>
      </w:r>
      <w:r w:rsidRPr="00E26A64">
        <w:rPr>
          <w:b/>
        </w:rPr>
        <w:t>aide à la constitution des dossiers</w:t>
      </w:r>
      <w:r>
        <w:t xml:space="preserve"> de demande d’indemnisation (vérification des pièces justificatives, relance pour obtenir les pièces manquantes),</w:t>
      </w:r>
    </w:p>
    <w:p w14:paraId="65F9C057" w14:textId="77777777" w:rsidR="00664C83" w:rsidRDefault="00664C83" w:rsidP="00664C83">
      <w:pPr>
        <w:pStyle w:val="Paragraphedeliste"/>
        <w:numPr>
          <w:ilvl w:val="0"/>
          <w:numId w:val="4"/>
        </w:numPr>
      </w:pPr>
      <w:proofErr w:type="gramStart"/>
      <w:r>
        <w:t>le</w:t>
      </w:r>
      <w:proofErr w:type="gramEnd"/>
      <w:r>
        <w:t xml:space="preserve"> </w:t>
      </w:r>
      <w:r w:rsidRPr="00E26A64">
        <w:rPr>
          <w:b/>
        </w:rPr>
        <w:t>traitement des prestations</w:t>
      </w:r>
      <w:r>
        <w:t>,</w:t>
      </w:r>
    </w:p>
    <w:p w14:paraId="3954B86D" w14:textId="77777777" w:rsidR="00664C83" w:rsidRDefault="00664C83" w:rsidP="00664C83">
      <w:pPr>
        <w:pStyle w:val="Paragraphedeliste"/>
        <w:numPr>
          <w:ilvl w:val="0"/>
          <w:numId w:val="4"/>
        </w:numPr>
      </w:pPr>
      <w:proofErr w:type="gramStart"/>
      <w:r>
        <w:t>un</w:t>
      </w:r>
      <w:proofErr w:type="gramEnd"/>
      <w:r>
        <w:t xml:space="preserve"> </w:t>
      </w:r>
      <w:r w:rsidRPr="00E26A64">
        <w:rPr>
          <w:b/>
        </w:rPr>
        <w:t>conseil pour la gestion des services associés</w:t>
      </w:r>
      <w:r>
        <w:t xml:space="preserve"> (expertises, contre-visites, recours contre un tiers responsable, accompagnement psychologique, prévention…).</w:t>
      </w:r>
    </w:p>
    <w:p w14:paraId="0233F9E1" w14:textId="77777777" w:rsidR="00BE1109" w:rsidRPr="00BE1109" w:rsidRDefault="00BE1109" w:rsidP="00BE1109">
      <w:pPr>
        <w:spacing w:before="0" w:after="0"/>
      </w:pPr>
    </w:p>
    <w:p w14:paraId="1F05DCC5" w14:textId="77777777" w:rsidR="00BE1109" w:rsidRPr="009C2B2E" w:rsidRDefault="00BE1109" w:rsidP="00BE1109">
      <w:pPr>
        <w:spacing w:before="0" w:after="0"/>
        <w:rPr>
          <w:b/>
        </w:rPr>
      </w:pPr>
      <w:r w:rsidRPr="009C2B2E">
        <w:rPr>
          <w:b/>
        </w:rPr>
        <w:t xml:space="preserve">Article </w:t>
      </w:r>
      <w:r w:rsidR="00D944CD">
        <w:rPr>
          <w:b/>
        </w:rPr>
        <w:t>3</w:t>
      </w:r>
      <w:r w:rsidRPr="009C2B2E">
        <w:rPr>
          <w:b/>
        </w:rPr>
        <w:t xml:space="preserve"> –</w:t>
      </w:r>
      <w:r w:rsidR="009C2B2E">
        <w:rPr>
          <w:b/>
        </w:rPr>
        <w:t xml:space="preserve"> Engagements de la collectivité</w:t>
      </w:r>
    </w:p>
    <w:p w14:paraId="3EF3359B" w14:textId="77777777" w:rsidR="00BE1109" w:rsidRDefault="009C2B2E" w:rsidP="009C2B2E">
      <w:pPr>
        <w:pStyle w:val="Paragraphedeliste"/>
        <w:numPr>
          <w:ilvl w:val="0"/>
          <w:numId w:val="5"/>
        </w:numPr>
        <w:spacing w:before="0" w:after="0"/>
      </w:pPr>
      <w:r>
        <w:t>Chaque année, la collectivité établira une déclaration des bases de l’assurance servant au calcul de la cotisation.</w:t>
      </w:r>
    </w:p>
    <w:p w14:paraId="135C4318" w14:textId="77777777" w:rsidR="009C2B2E" w:rsidRDefault="009C2B2E" w:rsidP="009C2B2E">
      <w:pPr>
        <w:pStyle w:val="Paragraphedeliste"/>
        <w:numPr>
          <w:ilvl w:val="0"/>
          <w:numId w:val="5"/>
        </w:numPr>
        <w:spacing w:before="0" w:after="0"/>
      </w:pPr>
      <w:r>
        <w:t>Pour chaque sinistre déclaré, la collectivité</w:t>
      </w:r>
      <w:r w:rsidR="00D944CD">
        <w:t xml:space="preserve"> s’engage à fournir les pièces justificatives nécessaires au paiement des prestations.</w:t>
      </w:r>
    </w:p>
    <w:p w14:paraId="5586A3A5" w14:textId="77777777" w:rsidR="009C2B2E" w:rsidRDefault="00BE1109" w:rsidP="009C2B2E">
      <w:pPr>
        <w:pStyle w:val="Paragraphedeliste"/>
        <w:numPr>
          <w:ilvl w:val="0"/>
          <w:numId w:val="5"/>
        </w:numPr>
        <w:spacing w:before="0" w:after="0"/>
      </w:pPr>
      <w:r w:rsidRPr="00BE1109">
        <w:t>La collectivité s’engage à s’acquitter de la cotisation fixée par la délibération précitée du conseil d’administration du CDG 61.</w:t>
      </w:r>
    </w:p>
    <w:p w14:paraId="2940C610" w14:textId="77777777" w:rsidR="00BE1109" w:rsidRPr="00BE1109" w:rsidRDefault="00BE1109" w:rsidP="00BE1109">
      <w:pPr>
        <w:spacing w:before="0" w:after="0"/>
      </w:pPr>
    </w:p>
    <w:p w14:paraId="34FB147A" w14:textId="77777777" w:rsidR="00DC46CD" w:rsidRDefault="00DC46CD" w:rsidP="00BE1109">
      <w:pPr>
        <w:spacing w:before="0" w:after="0"/>
        <w:rPr>
          <w:b/>
        </w:rPr>
      </w:pPr>
    </w:p>
    <w:p w14:paraId="1F4D5CCC" w14:textId="77777777" w:rsidR="00DC46CD" w:rsidRDefault="00DC46CD" w:rsidP="00BE1109">
      <w:pPr>
        <w:spacing w:before="0" w:after="0"/>
        <w:rPr>
          <w:b/>
        </w:rPr>
      </w:pPr>
    </w:p>
    <w:p w14:paraId="75EDB4BB" w14:textId="77777777" w:rsidR="005A6643" w:rsidRDefault="005A6643" w:rsidP="00BE1109">
      <w:pPr>
        <w:spacing w:before="0" w:after="0"/>
        <w:rPr>
          <w:b/>
        </w:rPr>
      </w:pPr>
    </w:p>
    <w:p w14:paraId="3B3B53BC" w14:textId="77777777" w:rsidR="00D944CD" w:rsidRPr="00D944CD" w:rsidRDefault="00BE1109" w:rsidP="00BE1109">
      <w:pPr>
        <w:spacing w:before="0" w:after="0"/>
      </w:pPr>
      <w:r w:rsidRPr="00D944CD">
        <w:rPr>
          <w:b/>
        </w:rPr>
        <w:lastRenderedPageBreak/>
        <w:t xml:space="preserve">Article </w:t>
      </w:r>
      <w:r w:rsidR="00D944CD">
        <w:rPr>
          <w:b/>
        </w:rPr>
        <w:t>4</w:t>
      </w:r>
      <w:r w:rsidRPr="00D944CD">
        <w:rPr>
          <w:b/>
        </w:rPr>
        <w:t xml:space="preserve"> - Conditions financières</w:t>
      </w:r>
    </w:p>
    <w:p w14:paraId="6E08190D" w14:textId="77777777" w:rsidR="00196892" w:rsidRPr="006E2A83" w:rsidRDefault="00D944CD" w:rsidP="00BE1109">
      <w:pPr>
        <w:spacing w:before="0" w:after="0"/>
      </w:pPr>
      <w:r>
        <w:t>La</w:t>
      </w:r>
      <w:r w:rsidR="00BE1109" w:rsidRPr="00BE1109">
        <w:t xml:space="preserve"> prestation </w:t>
      </w:r>
      <w:r w:rsidR="00A177EA">
        <w:t>de gestion du contrat d’assurance statutaire</w:t>
      </w:r>
      <w:r w:rsidR="00BE1109" w:rsidRPr="00BE1109">
        <w:t xml:space="preserve"> du </w:t>
      </w:r>
      <w:r w:rsidR="00A177EA">
        <w:t>Centre de gestion</w:t>
      </w:r>
      <w:r w:rsidR="00BE1109" w:rsidRPr="00BE1109">
        <w:t xml:space="preserve"> </w:t>
      </w:r>
      <w:r>
        <w:t>est</w:t>
      </w:r>
      <w:r w:rsidR="00BE1109" w:rsidRPr="00BE1109">
        <w:t xml:space="preserve"> financée </w:t>
      </w:r>
      <w:r w:rsidR="006E2A83">
        <w:t>par une participation</w:t>
      </w:r>
      <w:r w:rsidR="00BE1109" w:rsidRPr="00BE1109">
        <w:t xml:space="preserve"> </w:t>
      </w:r>
      <w:r w:rsidR="00BE1109" w:rsidRPr="006E2A83">
        <w:t>de 0,</w:t>
      </w:r>
      <w:r w:rsidR="00A177EA" w:rsidRPr="006E2A83">
        <w:t>2</w:t>
      </w:r>
      <w:r w:rsidR="00CD55B8">
        <w:t>5</w:t>
      </w:r>
      <w:r w:rsidR="00CB5EEC" w:rsidRPr="006E2A83">
        <w:t xml:space="preserve">% de la masse salariale </w:t>
      </w:r>
      <w:r w:rsidR="003359F7">
        <w:t xml:space="preserve">totale </w:t>
      </w:r>
      <w:r w:rsidR="00AE4CF6" w:rsidRPr="006E2A83">
        <w:t>déclarée auprès de l’assureur</w:t>
      </w:r>
      <w:r w:rsidR="003359F7">
        <w:t xml:space="preserve"> (Traitement indiciaire brut et composantes additionnelles retenues)</w:t>
      </w:r>
      <w:r w:rsidR="009D758A" w:rsidRPr="006E2A83">
        <w:t xml:space="preserve">. </w:t>
      </w:r>
    </w:p>
    <w:p w14:paraId="47B60C0C" w14:textId="77777777" w:rsidR="00AE4CF6" w:rsidRPr="006E2A83" w:rsidRDefault="00AE4CF6" w:rsidP="00BE1109">
      <w:pPr>
        <w:spacing w:before="0" w:after="0"/>
      </w:pPr>
    </w:p>
    <w:p w14:paraId="2DF8F9CF" w14:textId="77777777" w:rsidR="000F341E" w:rsidRDefault="000F341E" w:rsidP="000F341E">
      <w:pPr>
        <w:ind w:right="-2"/>
        <w:rPr>
          <w:bCs/>
        </w:rPr>
      </w:pPr>
      <w:r>
        <w:rPr>
          <w:bCs/>
        </w:rPr>
        <w:t>Le recouvrement des sommes dues au titre de la présente convention sera réalisé annuellement.</w:t>
      </w:r>
    </w:p>
    <w:p w14:paraId="43943EAF" w14:textId="77777777" w:rsidR="00DC46CD" w:rsidRPr="006E2A83" w:rsidRDefault="00DC46CD" w:rsidP="00BE1109">
      <w:pPr>
        <w:spacing w:before="0" w:after="0"/>
      </w:pPr>
    </w:p>
    <w:p w14:paraId="29359A2A" w14:textId="77777777" w:rsidR="00D944CD" w:rsidRDefault="00BE1109" w:rsidP="00BE1109">
      <w:pPr>
        <w:spacing w:before="0" w:after="0"/>
        <w:rPr>
          <w:b/>
        </w:rPr>
      </w:pPr>
      <w:r w:rsidRPr="00D944CD">
        <w:rPr>
          <w:b/>
        </w:rPr>
        <w:t xml:space="preserve">Article </w:t>
      </w:r>
      <w:r w:rsidR="00D944CD">
        <w:rPr>
          <w:b/>
        </w:rPr>
        <w:t>5</w:t>
      </w:r>
      <w:r w:rsidRPr="00D944CD">
        <w:rPr>
          <w:b/>
        </w:rPr>
        <w:t xml:space="preserve"> – Durée de la convention et résiliation</w:t>
      </w:r>
    </w:p>
    <w:p w14:paraId="086807E4" w14:textId="77777777" w:rsidR="00CB5EEC" w:rsidRPr="006E2A83" w:rsidRDefault="00D944CD" w:rsidP="00BE1109">
      <w:pPr>
        <w:spacing w:before="0" w:after="0"/>
      </w:pPr>
      <w:r w:rsidRPr="006E2A83">
        <w:t>L</w:t>
      </w:r>
      <w:r w:rsidR="00BE1109" w:rsidRPr="006E2A83">
        <w:t xml:space="preserve">a présente convention est prévue pour une durée </w:t>
      </w:r>
      <w:r w:rsidR="008C1F03">
        <w:t>de quatre ans</w:t>
      </w:r>
      <w:r w:rsidR="009D758A" w:rsidRPr="006E2A83">
        <w:t xml:space="preserve"> </w:t>
      </w:r>
      <w:r w:rsidR="00DC46CD" w:rsidRPr="006E2A83">
        <w:t xml:space="preserve">à compter </w:t>
      </w:r>
      <w:r w:rsidR="009D758A" w:rsidRPr="006E2A83">
        <w:t>de la signature du certificat d’adhésion de la collectivité/établissement au contrat d’assurance groupe statutaire du Centre de gestion.</w:t>
      </w:r>
      <w:r w:rsidR="00BE1109" w:rsidRPr="006E2A83">
        <w:t xml:space="preserve"> </w:t>
      </w:r>
    </w:p>
    <w:p w14:paraId="1A036602" w14:textId="77777777" w:rsidR="00CB5EEC" w:rsidRPr="006E2A83" w:rsidRDefault="00CB5EEC" w:rsidP="00BE1109">
      <w:pPr>
        <w:spacing w:before="0" w:after="0"/>
      </w:pPr>
    </w:p>
    <w:p w14:paraId="0F6D2CB4" w14:textId="0A4061BF" w:rsidR="00CB5EEC" w:rsidRPr="006E2A83" w:rsidRDefault="009D758A" w:rsidP="00BE1109">
      <w:pPr>
        <w:spacing w:before="0" w:after="0"/>
      </w:pPr>
      <w:r w:rsidRPr="006E2A83">
        <w:t>Cette co</w:t>
      </w:r>
      <w:r w:rsidR="00BD1C87" w:rsidRPr="006E2A83">
        <w:t>nvention est en vigueur pendant la durée d’adhésion de la collectivité/établissement</w:t>
      </w:r>
      <w:r w:rsidRPr="006E2A83">
        <w:t xml:space="preserve"> au contrat groupe d’assurance statutaire</w:t>
      </w:r>
      <w:r w:rsidR="00BD1C87" w:rsidRPr="006E2A83">
        <w:t xml:space="preserve"> du Centre de gestion</w:t>
      </w:r>
      <w:r w:rsidRPr="006E2A83">
        <w:t>. Ses effets cesseront en cas de résiliation de la collectivité/ét</w:t>
      </w:r>
      <w:r w:rsidR="00DC46CD" w:rsidRPr="006E2A83">
        <w:t xml:space="preserve">ablissement </w:t>
      </w:r>
      <w:r w:rsidR="00BD1C87" w:rsidRPr="006E2A83">
        <w:t>du contrat précité ou au plus tard le 31 décembre 202</w:t>
      </w:r>
      <w:r w:rsidR="003F6BAE">
        <w:t>6</w:t>
      </w:r>
      <w:r w:rsidR="00BD1C87" w:rsidRPr="006E2A83">
        <w:t>.</w:t>
      </w:r>
    </w:p>
    <w:p w14:paraId="6A589DED" w14:textId="77777777" w:rsidR="00CB5EEC" w:rsidRPr="006E2A83" w:rsidRDefault="00CB5EEC" w:rsidP="00BE1109">
      <w:pPr>
        <w:spacing w:before="0" w:after="0"/>
      </w:pPr>
    </w:p>
    <w:p w14:paraId="64AF7133" w14:textId="77777777" w:rsidR="00BE1109" w:rsidRPr="00BE1109" w:rsidRDefault="00BE1109" w:rsidP="00BE1109">
      <w:pPr>
        <w:spacing w:before="0" w:after="0"/>
      </w:pPr>
      <w:r w:rsidRPr="00BE1109">
        <w:t>Toute modification susceptible de lui être apportée fera l'objet d'un avenant.</w:t>
      </w:r>
    </w:p>
    <w:p w14:paraId="3996A524" w14:textId="77777777" w:rsidR="00BE1109" w:rsidRPr="00BE1109" w:rsidRDefault="00BE1109" w:rsidP="00BE1109">
      <w:pPr>
        <w:spacing w:before="0" w:after="0"/>
      </w:pPr>
    </w:p>
    <w:p w14:paraId="634A3A55" w14:textId="77777777" w:rsidR="00D944CD" w:rsidRDefault="00BE1109" w:rsidP="00BE1109">
      <w:pPr>
        <w:spacing w:before="0" w:after="0"/>
        <w:rPr>
          <w:b/>
        </w:rPr>
      </w:pPr>
      <w:r w:rsidRPr="00D944CD">
        <w:rPr>
          <w:b/>
        </w:rPr>
        <w:t xml:space="preserve">Article </w:t>
      </w:r>
      <w:r w:rsidR="00D944CD" w:rsidRPr="00D944CD">
        <w:rPr>
          <w:b/>
        </w:rPr>
        <w:t>6</w:t>
      </w:r>
      <w:r w:rsidRPr="00D944CD">
        <w:rPr>
          <w:b/>
        </w:rPr>
        <w:t xml:space="preserve"> – Contestations</w:t>
      </w:r>
    </w:p>
    <w:p w14:paraId="31ACAA11" w14:textId="77777777" w:rsidR="00BE1109" w:rsidRPr="00BE1109" w:rsidRDefault="00D944CD" w:rsidP="00BE1109">
      <w:pPr>
        <w:spacing w:before="0" w:after="0"/>
      </w:pPr>
      <w:r>
        <w:t>T</w:t>
      </w:r>
      <w:r w:rsidR="00BE1109" w:rsidRPr="00D944CD">
        <w:t>oute difficulté résultant de l'application de la présente convention fera</w:t>
      </w:r>
      <w:r w:rsidR="00BE1109" w:rsidRPr="00BE1109">
        <w:t xml:space="preserve"> l'objet d'une conciliation entre les deux parties. A défaut, les litiges seront portés devant le tribunal administratif de Caen.</w:t>
      </w:r>
    </w:p>
    <w:p w14:paraId="48052A30" w14:textId="77777777" w:rsidR="00BE1109" w:rsidRDefault="00BE1109" w:rsidP="00BE1109">
      <w:pPr>
        <w:spacing w:before="0" w:after="0"/>
      </w:pPr>
    </w:p>
    <w:p w14:paraId="09304F61" w14:textId="77777777" w:rsidR="00D944CD" w:rsidRDefault="00D944CD" w:rsidP="00BE1109">
      <w:pPr>
        <w:spacing w:before="0" w:after="0"/>
      </w:pPr>
    </w:p>
    <w:p w14:paraId="1D61EAD9" w14:textId="77777777" w:rsidR="00D944CD" w:rsidRDefault="00D944CD" w:rsidP="00BE1109">
      <w:pPr>
        <w:spacing w:before="0" w:after="0"/>
      </w:pPr>
    </w:p>
    <w:p w14:paraId="507B398F" w14:textId="77777777" w:rsidR="00BE1109" w:rsidRDefault="00BE1109" w:rsidP="00BE1109">
      <w:pPr>
        <w:spacing w:before="0"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BE1109" w14:paraId="0793C327" w14:textId="77777777" w:rsidTr="005906BC">
        <w:tc>
          <w:tcPr>
            <w:tcW w:w="5172" w:type="dxa"/>
          </w:tcPr>
          <w:p w14:paraId="225BFBAB" w14:textId="77777777" w:rsidR="00BE1109" w:rsidRDefault="00BE1109" w:rsidP="005906BC">
            <w:pPr>
              <w:ind w:left="142" w:right="-2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Valframbert, le </w:t>
            </w:r>
          </w:p>
          <w:p w14:paraId="3DD284FF" w14:textId="77777777" w:rsidR="00BE1109" w:rsidRDefault="00BE1109" w:rsidP="005906BC">
            <w:pPr>
              <w:ind w:left="142" w:right="-2"/>
              <w:rPr>
                <w:rFonts w:eastAsia="Times New Roman"/>
              </w:rPr>
            </w:pPr>
            <w:r>
              <w:rPr>
                <w:rFonts w:eastAsia="Times New Roman"/>
              </w:rPr>
              <w:t>Pour le Centre de gestion,</w:t>
            </w:r>
          </w:p>
          <w:p w14:paraId="5044F51D" w14:textId="77777777" w:rsidR="00BE1109" w:rsidRDefault="00BE1109" w:rsidP="005906BC">
            <w:pPr>
              <w:ind w:left="142" w:right="-2"/>
              <w:rPr>
                <w:rFonts w:eastAsia="Times New Roman"/>
              </w:rPr>
            </w:pPr>
          </w:p>
          <w:p w14:paraId="007C4882" w14:textId="77777777" w:rsidR="00BE1109" w:rsidRDefault="00BE1109" w:rsidP="005906BC">
            <w:pPr>
              <w:ind w:left="142" w:right="-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Le Président</w:t>
            </w:r>
          </w:p>
          <w:p w14:paraId="3AF65714" w14:textId="77777777" w:rsidR="00BE1109" w:rsidRDefault="00BE1109" w:rsidP="005906BC">
            <w:pPr>
              <w:ind w:left="142" w:right="-2"/>
              <w:jc w:val="center"/>
              <w:rPr>
                <w:rFonts w:eastAsia="Times New Roman"/>
              </w:rPr>
            </w:pPr>
          </w:p>
          <w:p w14:paraId="1777686B" w14:textId="77777777" w:rsidR="00BE1109" w:rsidRDefault="00BE1109" w:rsidP="005906BC">
            <w:pPr>
              <w:ind w:left="142" w:right="-2"/>
              <w:jc w:val="center"/>
              <w:rPr>
                <w:rFonts w:eastAsia="Times New Roman"/>
              </w:rPr>
            </w:pPr>
          </w:p>
          <w:p w14:paraId="5AEDA11E" w14:textId="77777777" w:rsidR="00BE1109" w:rsidRDefault="00BE1109" w:rsidP="005906BC">
            <w:pPr>
              <w:ind w:left="142" w:right="-2"/>
              <w:jc w:val="center"/>
              <w:rPr>
                <w:rFonts w:eastAsia="Times New Roman"/>
              </w:rPr>
            </w:pPr>
          </w:p>
          <w:p w14:paraId="694AEA57" w14:textId="77777777" w:rsidR="00BE1109" w:rsidRDefault="00BE1109" w:rsidP="005906BC">
            <w:pPr>
              <w:ind w:left="142" w:right="-2"/>
              <w:jc w:val="center"/>
              <w:rPr>
                <w:rFonts w:eastAsia="Times New Roman"/>
              </w:rPr>
            </w:pPr>
          </w:p>
          <w:p w14:paraId="7A0D01C4" w14:textId="77777777" w:rsidR="00BE1109" w:rsidRDefault="008C1F03" w:rsidP="005906BC">
            <w:pPr>
              <w:ind w:left="142" w:right="-2"/>
              <w:jc w:val="center"/>
              <w:outlineLvl w:val="0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</w:rPr>
              <w:t>Francis AÏVAR</w:t>
            </w:r>
          </w:p>
          <w:p w14:paraId="6009A733" w14:textId="77777777" w:rsidR="00BE1109" w:rsidRDefault="00BE1109" w:rsidP="005906BC">
            <w:pPr>
              <w:ind w:right="-2"/>
              <w:rPr>
                <w:rFonts w:eastAsia="Times New Roman" w:cs="Times New Roman"/>
                <w:bCs/>
              </w:rPr>
            </w:pPr>
          </w:p>
        </w:tc>
        <w:tc>
          <w:tcPr>
            <w:tcW w:w="5172" w:type="dxa"/>
          </w:tcPr>
          <w:p w14:paraId="6D60380D" w14:textId="77777777" w:rsidR="00BE1109" w:rsidRDefault="00BE1109" w:rsidP="005906BC">
            <w:pPr>
              <w:ind w:left="142" w:right="-2"/>
              <w:rPr>
                <w:rFonts w:eastAsia="Times New Roman"/>
              </w:rPr>
            </w:pPr>
            <w:r w:rsidRPr="005A6643">
              <w:rPr>
                <w:rFonts w:eastAsia="Times New Roman"/>
                <w:highlight w:val="yellow"/>
              </w:rPr>
              <w:t>A</w:t>
            </w:r>
            <w:r w:rsidR="00A177EA">
              <w:rPr>
                <w:rFonts w:eastAsia="Times New Roman"/>
              </w:rPr>
              <w:t xml:space="preserve">  </w:t>
            </w:r>
            <w:r w:rsidR="004959F3">
              <w:rPr>
                <w:rFonts w:eastAsia="Times New Roman"/>
              </w:rPr>
              <w:t xml:space="preserve">                            </w:t>
            </w:r>
            <w:proofErr w:type="gramStart"/>
            <w:r w:rsidR="00A177EA"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</w:rPr>
              <w:t>,</w:t>
            </w:r>
            <w:proofErr w:type="gramEnd"/>
            <w:r>
              <w:rPr>
                <w:rFonts w:eastAsia="Times New Roman"/>
              </w:rPr>
              <w:t xml:space="preserve"> </w:t>
            </w:r>
            <w:r w:rsidRPr="005A6643">
              <w:rPr>
                <w:rFonts w:eastAsia="Times New Roman"/>
                <w:highlight w:val="yellow"/>
              </w:rPr>
              <w:t>le</w:t>
            </w:r>
            <w:r>
              <w:rPr>
                <w:rFonts w:eastAsia="Times New Roman"/>
              </w:rPr>
              <w:t xml:space="preserve"> </w:t>
            </w:r>
          </w:p>
          <w:p w14:paraId="1F53337A" w14:textId="77777777" w:rsidR="00BE1109" w:rsidRDefault="00BE1109" w:rsidP="005906BC">
            <w:pPr>
              <w:ind w:left="142" w:right="-2"/>
              <w:rPr>
                <w:rFonts w:eastAsia="Times New Roman"/>
              </w:rPr>
            </w:pPr>
            <w:r w:rsidRPr="005A6643">
              <w:rPr>
                <w:rFonts w:eastAsia="Times New Roman"/>
                <w:highlight w:val="yellow"/>
              </w:rPr>
              <w:t>Pour la collectivité</w:t>
            </w:r>
            <w:r w:rsidR="00DC46CD" w:rsidRPr="005A6643">
              <w:rPr>
                <w:rFonts w:eastAsia="Times New Roman"/>
                <w:highlight w:val="yellow"/>
              </w:rPr>
              <w:t>/établissement</w:t>
            </w:r>
          </w:p>
          <w:p w14:paraId="55EA8066" w14:textId="77777777" w:rsidR="00BE1109" w:rsidRPr="0064670C" w:rsidRDefault="00BE1109" w:rsidP="005906BC">
            <w:pPr>
              <w:ind w:left="142" w:right="-2"/>
              <w:rPr>
                <w:rFonts w:eastAsia="Times New Roman"/>
              </w:rPr>
            </w:pPr>
          </w:p>
          <w:p w14:paraId="204CA1EC" w14:textId="77777777" w:rsidR="00BE1109" w:rsidRPr="0064670C" w:rsidRDefault="00BE1109" w:rsidP="005906BC">
            <w:pPr>
              <w:ind w:left="142" w:right="-2"/>
              <w:jc w:val="center"/>
              <w:rPr>
                <w:rFonts w:eastAsia="Times New Roman"/>
              </w:rPr>
            </w:pPr>
            <w:r w:rsidRPr="005A6643">
              <w:rPr>
                <w:rFonts w:eastAsia="Times New Roman"/>
                <w:highlight w:val="yellow"/>
              </w:rPr>
              <w:t>Le Maire</w:t>
            </w:r>
            <w:r w:rsidR="00A177EA" w:rsidRPr="005A6643">
              <w:rPr>
                <w:rFonts w:eastAsia="Times New Roman"/>
                <w:highlight w:val="yellow"/>
              </w:rPr>
              <w:t>/Président</w:t>
            </w:r>
          </w:p>
          <w:p w14:paraId="36EC9E8C" w14:textId="77777777" w:rsidR="00BE1109" w:rsidRDefault="00BE1109" w:rsidP="005906BC">
            <w:pPr>
              <w:ind w:left="142" w:right="-2"/>
              <w:jc w:val="center"/>
              <w:rPr>
                <w:rFonts w:eastAsia="Times New Roman"/>
                <w:highlight w:val="yellow"/>
              </w:rPr>
            </w:pPr>
          </w:p>
          <w:p w14:paraId="2E8B2319" w14:textId="77777777" w:rsidR="00BE1109" w:rsidRDefault="00BE1109" w:rsidP="005906BC">
            <w:pPr>
              <w:ind w:left="142" w:right="-2"/>
              <w:jc w:val="center"/>
              <w:rPr>
                <w:rFonts w:eastAsia="Times New Roman"/>
                <w:highlight w:val="yellow"/>
              </w:rPr>
            </w:pPr>
          </w:p>
          <w:p w14:paraId="2ACE3F70" w14:textId="77777777" w:rsidR="00BE1109" w:rsidRDefault="00BE1109" w:rsidP="005906BC">
            <w:pPr>
              <w:ind w:left="142" w:right="-2"/>
              <w:jc w:val="center"/>
              <w:rPr>
                <w:rFonts w:eastAsia="Times New Roman"/>
                <w:highlight w:val="yellow"/>
              </w:rPr>
            </w:pPr>
          </w:p>
          <w:p w14:paraId="45647EDC" w14:textId="77777777" w:rsidR="00BE1109" w:rsidRDefault="00BE1109" w:rsidP="005906BC">
            <w:pPr>
              <w:ind w:left="142" w:right="-2"/>
              <w:jc w:val="center"/>
              <w:rPr>
                <w:rFonts w:eastAsia="Times New Roman"/>
                <w:highlight w:val="yellow"/>
              </w:rPr>
            </w:pPr>
          </w:p>
          <w:p w14:paraId="3B63893A" w14:textId="77777777" w:rsidR="00BE1109" w:rsidRDefault="00A177EA" w:rsidP="00A177EA">
            <w:pPr>
              <w:ind w:right="-2"/>
              <w:jc w:val="center"/>
              <w:rPr>
                <w:rFonts w:eastAsia="Times New Roman"/>
                <w:b/>
                <w:i/>
              </w:rPr>
            </w:pPr>
            <w:r w:rsidRPr="005A6643">
              <w:rPr>
                <w:rFonts w:eastAsia="Times New Roman"/>
                <w:b/>
                <w:i/>
                <w:highlight w:val="yellow"/>
              </w:rPr>
              <w:t>Prénom</w:t>
            </w:r>
            <w:r w:rsidR="00BE1109" w:rsidRPr="005A6643">
              <w:rPr>
                <w:rFonts w:eastAsia="Times New Roman"/>
                <w:b/>
                <w:i/>
                <w:highlight w:val="yellow"/>
              </w:rPr>
              <w:t xml:space="preserve"> </w:t>
            </w:r>
            <w:r w:rsidRPr="005A6643">
              <w:rPr>
                <w:rFonts w:eastAsia="Times New Roman"/>
                <w:b/>
                <w:i/>
                <w:highlight w:val="yellow"/>
              </w:rPr>
              <w:t>NOM</w:t>
            </w:r>
          </w:p>
          <w:p w14:paraId="74943E99" w14:textId="77777777" w:rsidR="00DC46CD" w:rsidRDefault="00DC46CD" w:rsidP="00A177EA">
            <w:pPr>
              <w:ind w:right="-2"/>
              <w:jc w:val="center"/>
              <w:rPr>
                <w:rFonts w:eastAsia="Times New Roman"/>
                <w:b/>
                <w:i/>
              </w:rPr>
            </w:pPr>
          </w:p>
          <w:p w14:paraId="76326D30" w14:textId="77777777" w:rsidR="00DC46CD" w:rsidRDefault="00DC46CD" w:rsidP="00A177EA">
            <w:pPr>
              <w:ind w:right="-2"/>
              <w:jc w:val="center"/>
              <w:rPr>
                <w:rFonts w:eastAsia="Times New Roman" w:cs="Times New Roman"/>
                <w:bCs/>
              </w:rPr>
            </w:pPr>
          </w:p>
        </w:tc>
      </w:tr>
    </w:tbl>
    <w:p w14:paraId="4AB25442" w14:textId="77777777" w:rsidR="00BE1109" w:rsidRDefault="00BE1109" w:rsidP="00BE1109">
      <w:pPr>
        <w:spacing w:before="0" w:after="0"/>
      </w:pPr>
    </w:p>
    <w:p w14:paraId="36573E72" w14:textId="77777777" w:rsidR="00BE1109" w:rsidRDefault="00BE1109" w:rsidP="00BE1109">
      <w:pPr>
        <w:spacing w:before="0" w:after="0"/>
      </w:pPr>
    </w:p>
    <w:sectPr w:rsidR="00BE1109" w:rsidSect="008A107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9CB4" w14:textId="77777777" w:rsidR="00BD1C87" w:rsidRDefault="00BD1C87" w:rsidP="00A76017">
      <w:pPr>
        <w:spacing w:before="0" w:after="0"/>
      </w:pPr>
      <w:r>
        <w:separator/>
      </w:r>
    </w:p>
  </w:endnote>
  <w:endnote w:type="continuationSeparator" w:id="0">
    <w:p w14:paraId="6C26AD02" w14:textId="77777777" w:rsidR="00BD1C87" w:rsidRDefault="00BD1C87" w:rsidP="00A760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50998"/>
      <w:docPartObj>
        <w:docPartGallery w:val="Page Numbers (Bottom of Page)"/>
        <w:docPartUnique/>
      </w:docPartObj>
    </w:sdtPr>
    <w:sdtEndPr/>
    <w:sdtContent>
      <w:p w14:paraId="71E87E47" w14:textId="77777777" w:rsidR="00BD1C87" w:rsidRDefault="005A6643" w:rsidP="00A76017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9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666B" w14:textId="77777777" w:rsidR="00BD1C87" w:rsidRDefault="00BD1C87" w:rsidP="00A76017">
      <w:pPr>
        <w:spacing w:before="0" w:after="0"/>
      </w:pPr>
      <w:r>
        <w:separator/>
      </w:r>
    </w:p>
  </w:footnote>
  <w:footnote w:type="continuationSeparator" w:id="0">
    <w:p w14:paraId="0825B390" w14:textId="77777777" w:rsidR="00BD1C87" w:rsidRDefault="00BD1C87" w:rsidP="00A7601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86481"/>
    <w:multiLevelType w:val="hybridMultilevel"/>
    <w:tmpl w:val="E3086F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D376E"/>
    <w:multiLevelType w:val="hybridMultilevel"/>
    <w:tmpl w:val="445005B4"/>
    <w:lvl w:ilvl="0" w:tplc="1954E9D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960FC"/>
    <w:multiLevelType w:val="hybridMultilevel"/>
    <w:tmpl w:val="F880E1B4"/>
    <w:lvl w:ilvl="0" w:tplc="26505034">
      <w:start w:val="1"/>
      <w:numFmt w:val="bullet"/>
      <w:pStyle w:val="Paragraphedeliste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9C2520"/>
    <w:multiLevelType w:val="hybridMultilevel"/>
    <w:tmpl w:val="34CE1848"/>
    <w:lvl w:ilvl="0" w:tplc="AD0E8E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3094574">
    <w:abstractNumId w:val="2"/>
  </w:num>
  <w:num w:numId="2" w16cid:durableId="552160507">
    <w:abstractNumId w:val="2"/>
  </w:num>
  <w:num w:numId="3" w16cid:durableId="1371221922">
    <w:abstractNumId w:val="0"/>
  </w:num>
  <w:num w:numId="4" w16cid:durableId="1074622297">
    <w:abstractNumId w:val="1"/>
  </w:num>
  <w:num w:numId="5" w16cid:durableId="2011133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78"/>
    <w:rsid w:val="00070497"/>
    <w:rsid w:val="000C7225"/>
    <w:rsid w:val="000F341E"/>
    <w:rsid w:val="001532CB"/>
    <w:rsid w:val="00196750"/>
    <w:rsid w:val="00196892"/>
    <w:rsid w:val="003359F7"/>
    <w:rsid w:val="003E5D7B"/>
    <w:rsid w:val="003F6BAE"/>
    <w:rsid w:val="004240BC"/>
    <w:rsid w:val="004330A4"/>
    <w:rsid w:val="0045097D"/>
    <w:rsid w:val="00464CFB"/>
    <w:rsid w:val="004959F3"/>
    <w:rsid w:val="004A6A4E"/>
    <w:rsid w:val="005747B0"/>
    <w:rsid w:val="005906BC"/>
    <w:rsid w:val="005A2FBF"/>
    <w:rsid w:val="005A6643"/>
    <w:rsid w:val="00664C83"/>
    <w:rsid w:val="00693368"/>
    <w:rsid w:val="006E2A83"/>
    <w:rsid w:val="00773257"/>
    <w:rsid w:val="007D0ABE"/>
    <w:rsid w:val="007F0607"/>
    <w:rsid w:val="007F374D"/>
    <w:rsid w:val="008A1078"/>
    <w:rsid w:val="008B42FF"/>
    <w:rsid w:val="008C1F03"/>
    <w:rsid w:val="00954FFA"/>
    <w:rsid w:val="00980B05"/>
    <w:rsid w:val="009C2B2E"/>
    <w:rsid w:val="009D758A"/>
    <w:rsid w:val="00A018B8"/>
    <w:rsid w:val="00A15693"/>
    <w:rsid w:val="00A177EA"/>
    <w:rsid w:val="00A76017"/>
    <w:rsid w:val="00A87621"/>
    <w:rsid w:val="00AC2450"/>
    <w:rsid w:val="00AE4CF6"/>
    <w:rsid w:val="00B74790"/>
    <w:rsid w:val="00BD1C87"/>
    <w:rsid w:val="00BE1109"/>
    <w:rsid w:val="00C604D2"/>
    <w:rsid w:val="00C8426B"/>
    <w:rsid w:val="00CB5EEC"/>
    <w:rsid w:val="00CD55B8"/>
    <w:rsid w:val="00D47942"/>
    <w:rsid w:val="00D81D9C"/>
    <w:rsid w:val="00D92814"/>
    <w:rsid w:val="00D944CD"/>
    <w:rsid w:val="00DC0104"/>
    <w:rsid w:val="00DC46CD"/>
    <w:rsid w:val="00F6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E5B6"/>
  <w15:docId w15:val="{CD9AABAA-7A7E-437F-8100-0424E505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4D"/>
    <w:pPr>
      <w:spacing w:before="60" w:after="60"/>
      <w:jc w:val="both"/>
    </w:pPr>
    <w:rPr>
      <w:rFonts w:ascii="Verdana" w:hAnsi="Verdana"/>
      <w:szCs w:val="24"/>
    </w:rPr>
  </w:style>
  <w:style w:type="paragraph" w:styleId="Titre1">
    <w:name w:val="heading 1"/>
    <w:basedOn w:val="Normal"/>
    <w:next w:val="Normal"/>
    <w:link w:val="Titre1Car"/>
    <w:qFormat/>
    <w:rsid w:val="007F374D"/>
    <w:pPr>
      <w:keepNext/>
      <w:pBdr>
        <w:bottom w:val="single" w:sz="12" w:space="4" w:color="auto"/>
      </w:pBdr>
      <w:spacing w:before="240" w:after="0"/>
      <w:outlineLvl w:val="0"/>
    </w:pPr>
    <w:rPr>
      <w:rFonts w:cs="Arial"/>
      <w:b/>
      <w:bCs/>
      <w:caps/>
      <w:color w:val="A2BD30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F3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5693"/>
    <w:rPr>
      <w:rFonts w:ascii="Verdana" w:hAnsi="Verdana" w:cs="Arial"/>
      <w:b/>
      <w:bCs/>
      <w:caps/>
      <w:color w:val="A2BD30"/>
      <w:szCs w:val="24"/>
    </w:rPr>
  </w:style>
  <w:style w:type="paragraph" w:styleId="Sous-titre">
    <w:name w:val="Subtitle"/>
    <w:basedOn w:val="Normal"/>
    <w:next w:val="Normal"/>
    <w:link w:val="Sous-titreCar"/>
    <w:autoRedefine/>
    <w:qFormat/>
    <w:rsid w:val="007F374D"/>
    <w:pPr>
      <w:numPr>
        <w:ilvl w:val="1"/>
      </w:numPr>
      <w:tabs>
        <w:tab w:val="right" w:pos="15735"/>
      </w:tabs>
      <w:spacing w:before="0" w:after="0"/>
      <w:jc w:val="left"/>
    </w:pPr>
    <w:rPr>
      <w:rFonts w:eastAsiaTheme="majorEastAsia" w:cstheme="majorBidi"/>
      <w:b/>
      <w:i/>
      <w:iCs/>
      <w:color w:val="493422"/>
      <w:spacing w:val="80"/>
      <w:sz w:val="18"/>
    </w:rPr>
  </w:style>
  <w:style w:type="character" w:customStyle="1" w:styleId="Sous-titreCar">
    <w:name w:val="Sous-titre Car"/>
    <w:basedOn w:val="Policepardfaut"/>
    <w:link w:val="Sous-titre"/>
    <w:rsid w:val="007F374D"/>
    <w:rPr>
      <w:rFonts w:ascii="Verdana" w:eastAsiaTheme="majorEastAsia" w:hAnsi="Verdana" w:cstheme="majorBidi"/>
      <w:b/>
      <w:i/>
      <w:iCs/>
      <w:color w:val="493422"/>
      <w:spacing w:val="80"/>
      <w:sz w:val="18"/>
      <w:szCs w:val="24"/>
    </w:rPr>
  </w:style>
  <w:style w:type="paragraph" w:styleId="Paragraphedeliste">
    <w:name w:val="List Paragraph"/>
    <w:basedOn w:val="Normal"/>
    <w:uiPriority w:val="34"/>
    <w:qFormat/>
    <w:rsid w:val="007F374D"/>
    <w:pPr>
      <w:numPr>
        <w:numId w:val="2"/>
      </w:numPr>
      <w:tabs>
        <w:tab w:val="left" w:pos="284"/>
      </w:tabs>
    </w:pPr>
  </w:style>
  <w:style w:type="character" w:customStyle="1" w:styleId="Titre2Car">
    <w:name w:val="Titre 2 Car"/>
    <w:basedOn w:val="Policepardfaut"/>
    <w:link w:val="Titre2"/>
    <w:semiHidden/>
    <w:rsid w:val="007F3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ieddepage">
    <w:name w:val="footer"/>
    <w:basedOn w:val="Normal"/>
    <w:link w:val="PieddepageCar"/>
    <w:uiPriority w:val="99"/>
    <w:qFormat/>
    <w:rsid w:val="007F374D"/>
    <w:pPr>
      <w:tabs>
        <w:tab w:val="center" w:pos="4536"/>
        <w:tab w:val="right" w:pos="9072"/>
      </w:tabs>
      <w:spacing w:before="0" w:after="0"/>
      <w:jc w:val="left"/>
    </w:pPr>
    <w:rPr>
      <w:color w:val="493422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7F374D"/>
    <w:rPr>
      <w:rFonts w:ascii="Verdana" w:hAnsi="Verdana"/>
      <w:color w:val="493422"/>
      <w:sz w:val="16"/>
      <w:szCs w:val="24"/>
    </w:rPr>
  </w:style>
  <w:style w:type="paragraph" w:styleId="Titre">
    <w:name w:val="Title"/>
    <w:basedOn w:val="Normal"/>
    <w:next w:val="Normal"/>
    <w:link w:val="TitreCar"/>
    <w:qFormat/>
    <w:rsid w:val="007F374D"/>
    <w:pPr>
      <w:spacing w:before="0" w:after="0"/>
      <w:contextualSpacing/>
      <w:jc w:val="right"/>
    </w:pPr>
    <w:rPr>
      <w:rFonts w:eastAsiaTheme="majorEastAsia" w:cstheme="majorBidi"/>
      <w:b/>
      <w:color w:val="DC931A"/>
      <w:spacing w:val="5"/>
      <w:kern w:val="28"/>
      <w:sz w:val="36"/>
      <w:szCs w:val="52"/>
    </w:rPr>
  </w:style>
  <w:style w:type="character" w:customStyle="1" w:styleId="TitreCar">
    <w:name w:val="Titre Car"/>
    <w:basedOn w:val="Policepardfaut"/>
    <w:link w:val="Titre"/>
    <w:rsid w:val="007F374D"/>
    <w:rPr>
      <w:rFonts w:ascii="Verdana" w:eastAsiaTheme="majorEastAsia" w:hAnsi="Verdana" w:cstheme="majorBidi"/>
      <w:b/>
      <w:color w:val="DC931A"/>
      <w:spacing w:val="5"/>
      <w:kern w:val="28"/>
      <w:sz w:val="36"/>
      <w:szCs w:val="52"/>
    </w:rPr>
  </w:style>
  <w:style w:type="character" w:styleId="Lienhypertexte">
    <w:name w:val="Hyperlink"/>
    <w:basedOn w:val="Policepardfaut"/>
    <w:qFormat/>
    <w:rsid w:val="007F374D"/>
    <w:rPr>
      <w:color w:val="A2BD30"/>
      <w:u w:val="single"/>
    </w:rPr>
  </w:style>
  <w:style w:type="paragraph" w:styleId="Sansinterligne">
    <w:name w:val="No Spacing"/>
    <w:uiPriority w:val="1"/>
    <w:qFormat/>
    <w:rsid w:val="007F374D"/>
    <w:pPr>
      <w:jc w:val="both"/>
    </w:pPr>
    <w:rPr>
      <w:rFonts w:ascii="Verdana" w:hAnsi="Verdana"/>
      <w:sz w:val="16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7F374D"/>
    <w:pPr>
      <w:spacing w:before="120" w:after="12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F374D"/>
    <w:rPr>
      <w:rFonts w:ascii="Verdana" w:hAnsi="Verdana"/>
      <w:i/>
      <w:iCs/>
      <w:szCs w:val="24"/>
    </w:rPr>
  </w:style>
  <w:style w:type="paragraph" w:customStyle="1" w:styleId="Motscls">
    <w:name w:val="Mots clés"/>
    <w:basedOn w:val="Normal"/>
    <w:link w:val="MotsclsCar"/>
    <w:qFormat/>
    <w:rsid w:val="007F374D"/>
    <w:pPr>
      <w:pBdr>
        <w:top w:val="single" w:sz="8" w:space="2" w:color="493422"/>
        <w:left w:val="single" w:sz="8" w:space="4" w:color="493422"/>
        <w:bottom w:val="single" w:sz="8" w:space="2" w:color="493422"/>
        <w:right w:val="single" w:sz="8" w:space="4" w:color="493422"/>
      </w:pBdr>
      <w:jc w:val="center"/>
    </w:pPr>
    <w:rPr>
      <w:i/>
      <w:szCs w:val="18"/>
    </w:rPr>
  </w:style>
  <w:style w:type="character" w:customStyle="1" w:styleId="MotsclsCar">
    <w:name w:val="Mots clés Car"/>
    <w:basedOn w:val="Policepardfaut"/>
    <w:link w:val="Motscls"/>
    <w:rsid w:val="007F374D"/>
    <w:rPr>
      <w:rFonts w:ascii="Verdana" w:hAnsi="Verdana"/>
      <w:i/>
      <w:szCs w:val="18"/>
    </w:rPr>
  </w:style>
  <w:style w:type="paragraph" w:customStyle="1" w:styleId="Intro">
    <w:name w:val="Intro"/>
    <w:basedOn w:val="Citation"/>
    <w:link w:val="IntroCar"/>
    <w:qFormat/>
    <w:rsid w:val="007F374D"/>
    <w:rPr>
      <w:color w:val="000000" w:themeColor="text1"/>
    </w:rPr>
  </w:style>
  <w:style w:type="character" w:customStyle="1" w:styleId="IntroCar">
    <w:name w:val="Intro Car"/>
    <w:basedOn w:val="Policepardfaut"/>
    <w:link w:val="Intro"/>
    <w:locked/>
    <w:rsid w:val="007F374D"/>
    <w:rPr>
      <w:rFonts w:ascii="Verdana" w:hAnsi="Verdana"/>
      <w:i/>
      <w:iCs/>
      <w:color w:val="000000" w:themeColor="text1"/>
      <w:szCs w:val="24"/>
    </w:rPr>
  </w:style>
  <w:style w:type="table" w:styleId="Grilledutableau">
    <w:name w:val="Table Grid"/>
    <w:basedOn w:val="TableauNormal"/>
    <w:uiPriority w:val="59"/>
    <w:rsid w:val="00BE1109"/>
    <w:rPr>
      <w:rFonts w:ascii="Verdana" w:eastAsia="Calibri" w:hAnsi="Verdan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6017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A76017"/>
    <w:rPr>
      <w:rFonts w:ascii="Verdana" w:hAnsi="Verdana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758A"/>
    <w:pPr>
      <w:spacing w:before="0"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D758A"/>
    <w:rPr>
      <w:rFonts w:ascii="Verdana" w:hAnsi="Verdana"/>
    </w:rPr>
  </w:style>
  <w:style w:type="character" w:styleId="Appeldenotedefin">
    <w:name w:val="endnote reference"/>
    <w:basedOn w:val="Policepardfaut"/>
    <w:uiPriority w:val="99"/>
    <w:semiHidden/>
    <w:unhideWhenUsed/>
    <w:rsid w:val="009D75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980B4-A828-45CE-A447-438E7920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3581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CdG61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Céline PRIMA</cp:lastModifiedBy>
  <cp:revision>2</cp:revision>
  <cp:lastPrinted>2023-06-21T06:33:00Z</cp:lastPrinted>
  <dcterms:created xsi:type="dcterms:W3CDTF">2023-06-21T06:38:00Z</dcterms:created>
  <dcterms:modified xsi:type="dcterms:W3CDTF">2023-06-21T06:38:00Z</dcterms:modified>
</cp:coreProperties>
</file>