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8CE5" w14:textId="77777777" w:rsidR="00607DE7" w:rsidRDefault="000E771C" w:rsidP="00607DE7">
      <w:r>
        <w:rPr>
          <w:noProof/>
          <w:lang w:eastAsia="en-US"/>
        </w:rPr>
        <w:pict w14:anchorId="5DB3CD81">
          <v:shapetype id="_x0000_t202" coordsize="21600,21600" o:spt="202" path="m,l,21600r21600,l21600,xe">
            <v:stroke joinstyle="miter"/>
            <v:path gradientshapeok="t" o:connecttype="rect"/>
          </v:shapetype>
          <v:shape id="_x0000_s1051" type="#_x0000_t202" style="position:absolute;left:0;text-align:left;margin-left:172.5pt;margin-top:4.5pt;width:390.75pt;height:93pt;z-index:251662336;mso-position-horizontal-relative:page;mso-position-vertical-relative:page;mso-width-relative:margin;mso-height-relative:margin;v-text-anchor:middle" filled="f" stroked="f" strokecolor="#1f497d [3215]">
            <v:textbox style="mso-next-textbox:#_x0000_s1051">
              <w:txbxContent>
                <w:p w14:paraId="5BDC959C" w14:textId="77777777" w:rsidR="00097D55" w:rsidRDefault="003256AC" w:rsidP="003256AC">
                  <w:pPr>
                    <w:pStyle w:val="Titre"/>
                    <w:jc w:val="center"/>
                  </w:pPr>
                  <w:r>
                    <w:rPr>
                      <w:sz w:val="96"/>
                    </w:rPr>
                    <w:t>I</w:t>
                  </w:r>
                  <w:r>
                    <w:t xml:space="preserve">ncompatibilités </w:t>
                  </w:r>
                  <w:r w:rsidR="000F187D">
                    <w:t>de</w:t>
                  </w:r>
                  <w:r>
                    <w:t xml:space="preserve"> stockage </w:t>
                  </w:r>
                  <w:r w:rsidR="000F187D">
                    <w:t>entre</w:t>
                  </w:r>
                  <w:r>
                    <w:t xml:space="preserve"> produits chimiques</w:t>
                  </w:r>
                </w:p>
              </w:txbxContent>
            </v:textbox>
            <w10:wrap anchorx="page" anchory="page"/>
            <w10:anchorlock/>
          </v:shape>
        </w:pict>
      </w:r>
    </w:p>
    <w:p w14:paraId="2D7A1E1C" w14:textId="77777777" w:rsidR="00607DE7" w:rsidRDefault="00607DE7" w:rsidP="00607DE7"/>
    <w:p w14:paraId="40E1E7D2" w14:textId="77777777" w:rsidR="008C0C1B" w:rsidRDefault="008C0C1B" w:rsidP="00607DE7"/>
    <w:p w14:paraId="3587405A" w14:textId="77777777" w:rsidR="00607DE7" w:rsidRDefault="00607DE7" w:rsidP="00607DE7"/>
    <w:p w14:paraId="20BC871A" w14:textId="77777777" w:rsidR="00265B6D" w:rsidRDefault="003B16D6" w:rsidP="00F935D5">
      <w:pPr>
        <w:pStyle w:val="Sansinterligne"/>
      </w:pPr>
      <w:r>
        <w:rPr>
          <w:noProof/>
        </w:rPr>
        <w:drawing>
          <wp:anchor distT="0" distB="0" distL="114300" distR="114300" simplePos="0" relativeHeight="251658240" behindDoc="1" locked="0" layoutInCell="1" allowOverlap="1" wp14:anchorId="55DFAEE5" wp14:editId="014569A7">
            <wp:simplePos x="0" y="0"/>
            <wp:positionH relativeFrom="column">
              <wp:posOffset>5088255</wp:posOffset>
            </wp:positionH>
            <wp:positionV relativeFrom="paragraph">
              <wp:posOffset>64770</wp:posOffset>
            </wp:positionV>
            <wp:extent cx="1873250" cy="1242695"/>
            <wp:effectExtent l="0" t="0" r="0" b="0"/>
            <wp:wrapTight wrapText="bothSides">
              <wp:wrapPolygon edited="0">
                <wp:start x="0" y="0"/>
                <wp:lineTo x="0" y="21192"/>
                <wp:lineTo x="21307" y="21192"/>
                <wp:lineTo x="21307" y="0"/>
                <wp:lineTo x="0" y="0"/>
              </wp:wrapPolygon>
            </wp:wrapTight>
            <wp:docPr id="2" name="Image 2" descr="Résultat de recherche d'images pour &quot;incompatibilité produits chimi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ncompatibilité produits chimique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250" cy="1242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7B214" w14:textId="77777777" w:rsidR="0079781F" w:rsidRDefault="00BB342F" w:rsidP="003F422B">
      <w:pPr>
        <w:pStyle w:val="Intro"/>
      </w:pPr>
      <w:r>
        <w:t xml:space="preserve">Le </w:t>
      </w:r>
      <w:r w:rsidR="003256AC">
        <w:t>stockage en sécurité des produits chimiques passe en premier lieu par un état des stocks afin de déterminer quels types de produits chimiques sont stockés et les différentes propriétés dangereuses des produits. Pour ce faire, on peut s’appuyer sur les Fiches de Données de Sécurité (FDS)</w:t>
      </w:r>
      <w:r w:rsidR="0089604D">
        <w:t xml:space="preserve"> qui sont obligatoirement fournies par les fabricants lors de l’achat de produits chimiques et qui doivent être mises à disposition des agents dans le local de stockage de produits chimiques.</w:t>
      </w:r>
      <w:r w:rsidR="003B16D6" w:rsidRPr="003B16D6">
        <w:rPr>
          <w:noProof/>
        </w:rPr>
        <w:t xml:space="preserve"> </w:t>
      </w:r>
    </w:p>
    <w:p w14:paraId="0597ADF8" w14:textId="77777777" w:rsidR="0084782A" w:rsidRPr="0059086F" w:rsidRDefault="0084782A" w:rsidP="003F422B">
      <w:pPr>
        <w:pStyle w:val="Intro"/>
      </w:pPr>
      <w:r>
        <w:t xml:space="preserve">L’étude des incompatibilités au stockage entre produits chimiques est indispensable afin d’organiser </w:t>
      </w:r>
      <w:r w:rsidR="00E3199C">
        <w:t xml:space="preserve">un stockage en sécurité. En effet certains produits chimiques peuvent réagir </w:t>
      </w:r>
      <w:r w:rsidR="009E61B4">
        <w:t xml:space="preserve">violemment </w:t>
      </w:r>
      <w:r w:rsidR="00E3199C">
        <w:t>entre eux s’ils rentrent en contact (lors de fuites ou de déversements accidentels par exemple)</w:t>
      </w:r>
      <w:r w:rsidR="009E61B4">
        <w:t xml:space="preserve"> et présenter des risques pour la santé des agents ou encore des risques de déclenchement d’un incendie. Cette fiche a pour objet de présenter les incompatibilités entre produits chimiques afin de permettre aux collectivités d’organiser leur stockage de produits chimiques en sécurité </w:t>
      </w:r>
    </w:p>
    <w:p w14:paraId="26F9AA95" w14:textId="77777777" w:rsidR="008A2B38" w:rsidRDefault="003B16D6" w:rsidP="008A2B38">
      <w:pPr>
        <w:pStyle w:val="Titre1"/>
      </w:pPr>
      <w:r>
        <w:t>Les incompatibilitÉ de stockage entre produits chimiques</w:t>
      </w:r>
    </w:p>
    <w:p w14:paraId="5311E567" w14:textId="77777777" w:rsidR="00CA34B1" w:rsidRPr="008E1979" w:rsidRDefault="00951D1E" w:rsidP="008E1979">
      <w:pPr>
        <w:rPr>
          <w:bCs/>
        </w:rPr>
      </w:pPr>
      <w:r>
        <w:rPr>
          <w:bCs/>
        </w:rPr>
        <w:t>Certains produits chimiques peuvent réagir violemment les uns avec les autres, provoquant parfois des explosions, des incendies, des projections ou des émissions de gaz dangereux.</w:t>
      </w:r>
      <w:r w:rsidR="00657F05">
        <w:rPr>
          <w:bCs/>
        </w:rPr>
        <w:t xml:space="preserve"> Ces produits incompatibles doivent être impérativement </w:t>
      </w:r>
      <w:r w:rsidR="00657F05">
        <w:rPr>
          <w:b/>
          <w:bCs/>
        </w:rPr>
        <w:t>séparés physiquement</w:t>
      </w:r>
      <w:r w:rsidR="004F1B9E">
        <w:rPr>
          <w:bCs/>
        </w:rPr>
        <w:t>, le tableau suivant précise les produits chimiques dangereux incompatibles entre eux :</w:t>
      </w:r>
    </w:p>
    <w:tbl>
      <w:tblPr>
        <w:tblStyle w:val="Grilledutableau"/>
        <w:tblW w:w="0" w:type="auto"/>
        <w:tblLook w:val="04A0" w:firstRow="1" w:lastRow="0" w:firstColumn="1" w:lastColumn="0" w:noHBand="0" w:noVBand="1"/>
      </w:tblPr>
      <w:tblGrid>
        <w:gridCol w:w="1091"/>
        <w:gridCol w:w="1091"/>
        <w:gridCol w:w="1091"/>
        <w:gridCol w:w="1091"/>
        <w:gridCol w:w="1091"/>
        <w:gridCol w:w="1091"/>
        <w:gridCol w:w="1091"/>
        <w:gridCol w:w="1091"/>
        <w:gridCol w:w="1092"/>
        <w:gridCol w:w="1092"/>
      </w:tblGrid>
      <w:tr w:rsidR="00FF4589" w14:paraId="06590D76" w14:textId="77777777" w:rsidTr="000F187D">
        <w:tc>
          <w:tcPr>
            <w:tcW w:w="1091" w:type="dxa"/>
            <w:shd w:val="clear" w:color="auto" w:fill="F2F2F2" w:themeFill="background1" w:themeFillShade="F2"/>
          </w:tcPr>
          <w:p w14:paraId="709A80FF" w14:textId="77777777" w:rsidR="008E1979" w:rsidRDefault="008E1979" w:rsidP="008E1979">
            <w:pPr>
              <w:jc w:val="center"/>
            </w:pPr>
          </w:p>
        </w:tc>
        <w:tc>
          <w:tcPr>
            <w:tcW w:w="1091" w:type="dxa"/>
            <w:shd w:val="clear" w:color="auto" w:fill="F2F2F2" w:themeFill="background1" w:themeFillShade="F2"/>
          </w:tcPr>
          <w:p w14:paraId="7253BC02" w14:textId="77777777" w:rsidR="008E1979" w:rsidRDefault="008E1979" w:rsidP="008E1979">
            <w:pPr>
              <w:jc w:val="center"/>
            </w:pPr>
            <w:r>
              <w:rPr>
                <w:noProof/>
              </w:rPr>
              <w:drawing>
                <wp:inline distT="0" distB="0" distL="0" distR="0" wp14:anchorId="5EF2D2B4" wp14:editId="248A3596">
                  <wp:extent cx="444500" cy="444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c>
        <w:tc>
          <w:tcPr>
            <w:tcW w:w="1091" w:type="dxa"/>
            <w:shd w:val="clear" w:color="auto" w:fill="F2F2F2" w:themeFill="background1" w:themeFillShade="F2"/>
          </w:tcPr>
          <w:p w14:paraId="11607EDB" w14:textId="77777777" w:rsidR="008E1979" w:rsidRDefault="008E1979" w:rsidP="008E1979">
            <w:pPr>
              <w:jc w:val="center"/>
            </w:pPr>
            <w:r>
              <w:rPr>
                <w:noProof/>
              </w:rPr>
              <w:drawing>
                <wp:inline distT="0" distB="0" distL="0" distR="0" wp14:anchorId="65367389" wp14:editId="74FB49E0">
                  <wp:extent cx="444500" cy="4445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c>
        <w:tc>
          <w:tcPr>
            <w:tcW w:w="1091" w:type="dxa"/>
            <w:shd w:val="clear" w:color="auto" w:fill="F2F2F2" w:themeFill="background1" w:themeFillShade="F2"/>
          </w:tcPr>
          <w:p w14:paraId="3DEF6137" w14:textId="77777777" w:rsidR="008E1979" w:rsidRDefault="008E1979" w:rsidP="008E1979">
            <w:pPr>
              <w:jc w:val="center"/>
            </w:pPr>
            <w:r>
              <w:rPr>
                <w:noProof/>
              </w:rPr>
              <w:drawing>
                <wp:inline distT="0" distB="0" distL="0" distR="0" wp14:anchorId="674E00EC" wp14:editId="368642F7">
                  <wp:extent cx="446400" cy="446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46400" cy="446400"/>
                          </a:xfrm>
                          <a:prstGeom prst="rect">
                            <a:avLst/>
                          </a:prstGeom>
                          <a:noFill/>
                          <a:ln>
                            <a:noFill/>
                          </a:ln>
                        </pic:spPr>
                      </pic:pic>
                    </a:graphicData>
                  </a:graphic>
                </wp:inline>
              </w:drawing>
            </w:r>
          </w:p>
        </w:tc>
        <w:tc>
          <w:tcPr>
            <w:tcW w:w="1091" w:type="dxa"/>
            <w:shd w:val="clear" w:color="auto" w:fill="F2F2F2" w:themeFill="background1" w:themeFillShade="F2"/>
          </w:tcPr>
          <w:p w14:paraId="237143AA" w14:textId="77777777" w:rsidR="008E1979" w:rsidRDefault="008E1979" w:rsidP="008E1979">
            <w:pPr>
              <w:jc w:val="center"/>
            </w:pPr>
            <w:r>
              <w:rPr>
                <w:noProof/>
              </w:rPr>
              <w:drawing>
                <wp:inline distT="0" distB="0" distL="0" distR="0" wp14:anchorId="57C3C06A" wp14:editId="0BB995AD">
                  <wp:extent cx="446926" cy="446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926" cy="446400"/>
                          </a:xfrm>
                          <a:prstGeom prst="rect">
                            <a:avLst/>
                          </a:prstGeom>
                          <a:noFill/>
                          <a:ln>
                            <a:noFill/>
                          </a:ln>
                        </pic:spPr>
                      </pic:pic>
                    </a:graphicData>
                  </a:graphic>
                </wp:inline>
              </w:drawing>
            </w:r>
          </w:p>
        </w:tc>
        <w:tc>
          <w:tcPr>
            <w:tcW w:w="1091" w:type="dxa"/>
            <w:shd w:val="clear" w:color="auto" w:fill="F2F2F2" w:themeFill="background1" w:themeFillShade="F2"/>
          </w:tcPr>
          <w:p w14:paraId="4B3D8B93" w14:textId="77777777" w:rsidR="008E1979" w:rsidRDefault="008E1979" w:rsidP="008E1979">
            <w:pPr>
              <w:jc w:val="center"/>
            </w:pPr>
            <w:r>
              <w:rPr>
                <w:noProof/>
              </w:rPr>
              <w:drawing>
                <wp:inline distT="0" distB="0" distL="0" distR="0" wp14:anchorId="69AFC84A" wp14:editId="17A3B2CD">
                  <wp:extent cx="446400" cy="446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1" w:type="dxa"/>
            <w:shd w:val="clear" w:color="auto" w:fill="F2F2F2" w:themeFill="background1" w:themeFillShade="F2"/>
          </w:tcPr>
          <w:p w14:paraId="132076CC" w14:textId="77777777" w:rsidR="008E1979" w:rsidRDefault="003677DD" w:rsidP="008E1979">
            <w:pPr>
              <w:jc w:val="center"/>
            </w:pPr>
            <w:r>
              <w:rPr>
                <w:noProof/>
              </w:rPr>
              <w:drawing>
                <wp:inline distT="0" distB="0" distL="0" distR="0" wp14:anchorId="7E0F15DF" wp14:editId="23C6FD15">
                  <wp:extent cx="446400" cy="4464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1" w:type="dxa"/>
            <w:shd w:val="clear" w:color="auto" w:fill="F2F2F2" w:themeFill="background1" w:themeFillShade="F2"/>
          </w:tcPr>
          <w:p w14:paraId="5F7A3544" w14:textId="77777777" w:rsidR="008E1979" w:rsidRDefault="003677DD" w:rsidP="008E1979">
            <w:pPr>
              <w:jc w:val="center"/>
            </w:pPr>
            <w:r>
              <w:rPr>
                <w:noProof/>
              </w:rPr>
              <w:drawing>
                <wp:inline distT="0" distB="0" distL="0" distR="0" wp14:anchorId="23E7C5DA" wp14:editId="0D9E1104">
                  <wp:extent cx="446400" cy="4464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2" w:type="dxa"/>
            <w:shd w:val="clear" w:color="auto" w:fill="F2F2F2" w:themeFill="background1" w:themeFillShade="F2"/>
          </w:tcPr>
          <w:p w14:paraId="6E5A64A4" w14:textId="77777777" w:rsidR="008E1979" w:rsidRDefault="00FF4589" w:rsidP="008E1979">
            <w:pPr>
              <w:jc w:val="center"/>
            </w:pPr>
            <w:r>
              <w:rPr>
                <w:noProof/>
              </w:rPr>
              <w:drawing>
                <wp:inline distT="0" distB="0" distL="0" distR="0" wp14:anchorId="03FF919C" wp14:editId="7E81C843">
                  <wp:extent cx="446400" cy="4464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2" w:type="dxa"/>
            <w:shd w:val="clear" w:color="auto" w:fill="F2F2F2" w:themeFill="background1" w:themeFillShade="F2"/>
          </w:tcPr>
          <w:p w14:paraId="1CD3D9D9" w14:textId="77777777" w:rsidR="008E1979" w:rsidRDefault="00FF4589" w:rsidP="008E1979">
            <w:pPr>
              <w:jc w:val="center"/>
            </w:pPr>
            <w:r>
              <w:rPr>
                <w:noProof/>
              </w:rPr>
              <w:drawing>
                <wp:inline distT="0" distB="0" distL="0" distR="0" wp14:anchorId="53ECB431" wp14:editId="3AC98D66">
                  <wp:extent cx="446400" cy="446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inline>
              </w:drawing>
            </w:r>
          </w:p>
        </w:tc>
      </w:tr>
      <w:tr w:rsidR="00FF4589" w14:paraId="70C92F8C" w14:textId="77777777" w:rsidTr="000F187D">
        <w:tc>
          <w:tcPr>
            <w:tcW w:w="1091" w:type="dxa"/>
            <w:shd w:val="clear" w:color="auto" w:fill="F2F2F2" w:themeFill="background1" w:themeFillShade="F2"/>
          </w:tcPr>
          <w:p w14:paraId="2166211D" w14:textId="77777777" w:rsidR="008E1979" w:rsidRDefault="008E1979" w:rsidP="008E1979">
            <w:pPr>
              <w:jc w:val="center"/>
            </w:pPr>
            <w:r>
              <w:rPr>
                <w:noProof/>
              </w:rPr>
              <w:drawing>
                <wp:inline distT="0" distB="0" distL="0" distR="0" wp14:anchorId="61425479" wp14:editId="48AF9EAB">
                  <wp:extent cx="446400" cy="446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inline>
              </w:drawing>
            </w:r>
          </w:p>
        </w:tc>
        <w:tc>
          <w:tcPr>
            <w:tcW w:w="1091" w:type="dxa"/>
            <w:vAlign w:val="center"/>
          </w:tcPr>
          <w:p w14:paraId="661126AE" w14:textId="77777777" w:rsidR="008E1979" w:rsidRPr="00FF4589" w:rsidRDefault="00FF4589" w:rsidP="00FF4589">
            <w:pPr>
              <w:jc w:val="center"/>
              <w:rPr>
                <w:b/>
                <w:color w:val="FFC000"/>
                <w:sz w:val="36"/>
              </w:rPr>
            </w:pPr>
            <w:r w:rsidRPr="00FF4589">
              <w:rPr>
                <w:b/>
                <w:color w:val="FFC000"/>
                <w:sz w:val="36"/>
              </w:rPr>
              <w:t>?</w:t>
            </w:r>
          </w:p>
        </w:tc>
        <w:tc>
          <w:tcPr>
            <w:tcW w:w="1091" w:type="dxa"/>
            <w:vAlign w:val="center"/>
          </w:tcPr>
          <w:p w14:paraId="3B05D68D" w14:textId="77777777" w:rsidR="008E1979" w:rsidRPr="00FF4589" w:rsidRDefault="00FF4589" w:rsidP="00FF4589">
            <w:pPr>
              <w:jc w:val="center"/>
              <w:rPr>
                <w:b/>
                <w:color w:val="FF0000"/>
                <w:sz w:val="36"/>
              </w:rPr>
            </w:pPr>
            <w:r w:rsidRPr="00FF4589">
              <w:rPr>
                <w:b/>
                <w:color w:val="FF0000"/>
                <w:sz w:val="36"/>
              </w:rPr>
              <w:t>X</w:t>
            </w:r>
          </w:p>
        </w:tc>
        <w:tc>
          <w:tcPr>
            <w:tcW w:w="1091" w:type="dxa"/>
            <w:vAlign w:val="center"/>
          </w:tcPr>
          <w:p w14:paraId="6A04A3EE" w14:textId="77777777" w:rsidR="008E1979" w:rsidRPr="00FF4589" w:rsidRDefault="00FF4589" w:rsidP="00FF4589">
            <w:pPr>
              <w:jc w:val="center"/>
              <w:rPr>
                <w:b/>
                <w:color w:val="FF0000"/>
                <w:sz w:val="36"/>
              </w:rPr>
            </w:pPr>
            <w:r w:rsidRPr="00FF4589">
              <w:rPr>
                <w:b/>
                <w:color w:val="FF0000"/>
                <w:sz w:val="36"/>
              </w:rPr>
              <w:t>X</w:t>
            </w:r>
          </w:p>
        </w:tc>
        <w:tc>
          <w:tcPr>
            <w:tcW w:w="1091" w:type="dxa"/>
            <w:vAlign w:val="center"/>
          </w:tcPr>
          <w:p w14:paraId="4F11D0F4" w14:textId="77777777" w:rsidR="008E1979" w:rsidRPr="00FF4589" w:rsidRDefault="00FF4589" w:rsidP="00FF4589">
            <w:pPr>
              <w:jc w:val="center"/>
              <w:rPr>
                <w:b/>
                <w:color w:val="FF0000"/>
                <w:sz w:val="36"/>
              </w:rPr>
            </w:pPr>
            <w:r w:rsidRPr="00FF4589">
              <w:rPr>
                <w:b/>
                <w:color w:val="FF0000"/>
                <w:sz w:val="36"/>
              </w:rPr>
              <w:t>X</w:t>
            </w:r>
          </w:p>
        </w:tc>
        <w:tc>
          <w:tcPr>
            <w:tcW w:w="1091" w:type="dxa"/>
            <w:vAlign w:val="center"/>
          </w:tcPr>
          <w:p w14:paraId="798A0544" w14:textId="77777777" w:rsidR="008E1979" w:rsidRPr="00FF4589" w:rsidRDefault="00FF4589" w:rsidP="00FF4589">
            <w:pPr>
              <w:jc w:val="center"/>
              <w:rPr>
                <w:b/>
                <w:color w:val="FF0000"/>
                <w:sz w:val="36"/>
              </w:rPr>
            </w:pPr>
            <w:r w:rsidRPr="00FF4589">
              <w:rPr>
                <w:b/>
                <w:color w:val="FF0000"/>
                <w:sz w:val="36"/>
              </w:rPr>
              <w:t>X</w:t>
            </w:r>
          </w:p>
        </w:tc>
        <w:tc>
          <w:tcPr>
            <w:tcW w:w="1091" w:type="dxa"/>
            <w:vAlign w:val="center"/>
          </w:tcPr>
          <w:p w14:paraId="3EF8FFBC" w14:textId="77777777" w:rsidR="008E1979" w:rsidRPr="00FF4589" w:rsidRDefault="00FF4589" w:rsidP="00FF4589">
            <w:pPr>
              <w:jc w:val="center"/>
              <w:rPr>
                <w:b/>
                <w:color w:val="FF0000"/>
                <w:sz w:val="36"/>
              </w:rPr>
            </w:pPr>
            <w:r w:rsidRPr="00FF4589">
              <w:rPr>
                <w:b/>
                <w:color w:val="FF0000"/>
                <w:sz w:val="36"/>
              </w:rPr>
              <w:t>X</w:t>
            </w:r>
          </w:p>
        </w:tc>
        <w:tc>
          <w:tcPr>
            <w:tcW w:w="1091" w:type="dxa"/>
            <w:vAlign w:val="center"/>
          </w:tcPr>
          <w:p w14:paraId="717796DA" w14:textId="77777777" w:rsidR="008E1979" w:rsidRPr="00FF4589" w:rsidRDefault="00FF4589" w:rsidP="00FF4589">
            <w:pPr>
              <w:jc w:val="center"/>
              <w:rPr>
                <w:b/>
                <w:sz w:val="36"/>
              </w:rPr>
            </w:pPr>
            <w:r w:rsidRPr="00FF4589">
              <w:rPr>
                <w:b/>
                <w:color w:val="00B050"/>
                <w:sz w:val="36"/>
              </w:rPr>
              <w:t>OK</w:t>
            </w:r>
          </w:p>
        </w:tc>
        <w:tc>
          <w:tcPr>
            <w:tcW w:w="1092" w:type="dxa"/>
            <w:vAlign w:val="center"/>
          </w:tcPr>
          <w:p w14:paraId="13E314F2" w14:textId="77777777" w:rsidR="008E1979" w:rsidRPr="00FF4589" w:rsidRDefault="00FF4589" w:rsidP="00FF4589">
            <w:pPr>
              <w:jc w:val="center"/>
              <w:rPr>
                <w:b/>
                <w:color w:val="FF0000"/>
                <w:sz w:val="36"/>
              </w:rPr>
            </w:pPr>
            <w:r w:rsidRPr="00FF4589">
              <w:rPr>
                <w:b/>
                <w:color w:val="FF0000"/>
                <w:sz w:val="36"/>
              </w:rPr>
              <w:t>X</w:t>
            </w:r>
          </w:p>
        </w:tc>
        <w:tc>
          <w:tcPr>
            <w:tcW w:w="1092" w:type="dxa"/>
            <w:vAlign w:val="center"/>
          </w:tcPr>
          <w:p w14:paraId="09A74330" w14:textId="77777777" w:rsidR="008E1979" w:rsidRPr="00FF4589" w:rsidRDefault="00FF4589" w:rsidP="00FF4589">
            <w:pPr>
              <w:jc w:val="center"/>
              <w:rPr>
                <w:b/>
                <w:color w:val="FF0000"/>
                <w:sz w:val="36"/>
              </w:rPr>
            </w:pPr>
            <w:r w:rsidRPr="00FF4589">
              <w:rPr>
                <w:b/>
                <w:color w:val="FF0000"/>
                <w:sz w:val="36"/>
              </w:rPr>
              <w:t>X</w:t>
            </w:r>
          </w:p>
        </w:tc>
      </w:tr>
      <w:tr w:rsidR="00FF4589" w14:paraId="7EF04208" w14:textId="77777777" w:rsidTr="000F187D">
        <w:tc>
          <w:tcPr>
            <w:tcW w:w="1091" w:type="dxa"/>
            <w:shd w:val="clear" w:color="auto" w:fill="F2F2F2" w:themeFill="background1" w:themeFillShade="F2"/>
          </w:tcPr>
          <w:p w14:paraId="71320704" w14:textId="77777777" w:rsidR="008E1979" w:rsidRDefault="008E1979" w:rsidP="008E1979">
            <w:pPr>
              <w:jc w:val="center"/>
            </w:pPr>
            <w:r>
              <w:rPr>
                <w:noProof/>
              </w:rPr>
              <w:drawing>
                <wp:inline distT="0" distB="0" distL="0" distR="0" wp14:anchorId="1466D180" wp14:editId="477FEB00">
                  <wp:extent cx="446400" cy="446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inline>
              </w:drawing>
            </w:r>
          </w:p>
        </w:tc>
        <w:tc>
          <w:tcPr>
            <w:tcW w:w="1091" w:type="dxa"/>
            <w:vAlign w:val="center"/>
          </w:tcPr>
          <w:p w14:paraId="274419B8"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7A9B65A8"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3697D89D"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7A5DDF2A"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7E47502E"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10DBF3B8"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612188D2" w14:textId="77777777" w:rsidR="008E1979" w:rsidRPr="00FF4589" w:rsidRDefault="00FF4589" w:rsidP="00FF4589">
            <w:pPr>
              <w:jc w:val="center"/>
              <w:rPr>
                <w:b/>
                <w:sz w:val="36"/>
                <w:szCs w:val="36"/>
              </w:rPr>
            </w:pPr>
            <w:r w:rsidRPr="00FF4589">
              <w:rPr>
                <w:b/>
                <w:color w:val="00B050"/>
                <w:sz w:val="36"/>
                <w:szCs w:val="36"/>
              </w:rPr>
              <w:t>OK</w:t>
            </w:r>
          </w:p>
        </w:tc>
        <w:tc>
          <w:tcPr>
            <w:tcW w:w="1092" w:type="dxa"/>
            <w:vAlign w:val="center"/>
          </w:tcPr>
          <w:p w14:paraId="5E8ADC38" w14:textId="77777777" w:rsidR="008E1979" w:rsidRPr="00FF4589" w:rsidRDefault="00FF4589" w:rsidP="00FF4589">
            <w:pPr>
              <w:jc w:val="center"/>
              <w:rPr>
                <w:b/>
                <w:color w:val="FF0000"/>
                <w:sz w:val="36"/>
                <w:szCs w:val="36"/>
              </w:rPr>
            </w:pPr>
            <w:r w:rsidRPr="00FF4589">
              <w:rPr>
                <w:b/>
                <w:color w:val="FF0000"/>
                <w:sz w:val="36"/>
                <w:szCs w:val="36"/>
              </w:rPr>
              <w:t>X</w:t>
            </w:r>
          </w:p>
        </w:tc>
        <w:tc>
          <w:tcPr>
            <w:tcW w:w="1092" w:type="dxa"/>
            <w:vAlign w:val="center"/>
          </w:tcPr>
          <w:p w14:paraId="102F3AD2" w14:textId="77777777" w:rsidR="008E1979" w:rsidRPr="00FF4589" w:rsidRDefault="00FF4589" w:rsidP="00FF4589">
            <w:pPr>
              <w:jc w:val="center"/>
              <w:rPr>
                <w:b/>
                <w:color w:val="FF0000"/>
                <w:sz w:val="36"/>
                <w:szCs w:val="36"/>
              </w:rPr>
            </w:pPr>
            <w:r w:rsidRPr="00FF4589">
              <w:rPr>
                <w:b/>
                <w:color w:val="FF0000"/>
                <w:sz w:val="36"/>
                <w:szCs w:val="36"/>
              </w:rPr>
              <w:t>X</w:t>
            </w:r>
          </w:p>
        </w:tc>
      </w:tr>
      <w:tr w:rsidR="00FF4589" w14:paraId="0AFED4A6" w14:textId="77777777" w:rsidTr="000F187D">
        <w:tc>
          <w:tcPr>
            <w:tcW w:w="1091" w:type="dxa"/>
            <w:shd w:val="clear" w:color="auto" w:fill="F2F2F2" w:themeFill="background1" w:themeFillShade="F2"/>
          </w:tcPr>
          <w:p w14:paraId="62223280" w14:textId="77777777" w:rsidR="008E1979" w:rsidRDefault="008E1979" w:rsidP="008E1979">
            <w:pPr>
              <w:jc w:val="center"/>
            </w:pPr>
            <w:r>
              <w:rPr>
                <w:noProof/>
              </w:rPr>
              <w:drawing>
                <wp:inline distT="0" distB="0" distL="0" distR="0" wp14:anchorId="11672E21" wp14:editId="3E615445">
                  <wp:extent cx="446400" cy="446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446400" cy="446400"/>
                          </a:xfrm>
                          <a:prstGeom prst="rect">
                            <a:avLst/>
                          </a:prstGeom>
                          <a:noFill/>
                          <a:ln>
                            <a:noFill/>
                          </a:ln>
                        </pic:spPr>
                      </pic:pic>
                    </a:graphicData>
                  </a:graphic>
                </wp:inline>
              </w:drawing>
            </w:r>
          </w:p>
        </w:tc>
        <w:tc>
          <w:tcPr>
            <w:tcW w:w="1091" w:type="dxa"/>
            <w:vAlign w:val="center"/>
          </w:tcPr>
          <w:p w14:paraId="54F8539B"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55AC4BDB"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4DE6F5A3"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306A4954"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788BF08E"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2B987E02"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1426E779" w14:textId="77777777" w:rsidR="008E1979" w:rsidRPr="00FF4589" w:rsidRDefault="00FF4589" w:rsidP="00FF4589">
            <w:pPr>
              <w:jc w:val="center"/>
              <w:rPr>
                <w:b/>
                <w:color w:val="FF0000"/>
                <w:sz w:val="36"/>
                <w:szCs w:val="36"/>
              </w:rPr>
            </w:pPr>
            <w:r w:rsidRPr="00FF4589">
              <w:rPr>
                <w:b/>
                <w:color w:val="FF0000"/>
                <w:sz w:val="36"/>
                <w:szCs w:val="36"/>
              </w:rPr>
              <w:t>X</w:t>
            </w:r>
          </w:p>
        </w:tc>
        <w:tc>
          <w:tcPr>
            <w:tcW w:w="1092" w:type="dxa"/>
            <w:vAlign w:val="center"/>
          </w:tcPr>
          <w:p w14:paraId="338AD125" w14:textId="77777777" w:rsidR="008E1979" w:rsidRPr="00FF4589" w:rsidRDefault="00FF4589" w:rsidP="00FF4589">
            <w:pPr>
              <w:jc w:val="center"/>
              <w:rPr>
                <w:b/>
                <w:color w:val="FF0000"/>
                <w:sz w:val="36"/>
                <w:szCs w:val="36"/>
              </w:rPr>
            </w:pPr>
            <w:r w:rsidRPr="00FF4589">
              <w:rPr>
                <w:b/>
                <w:color w:val="FF0000"/>
                <w:sz w:val="36"/>
                <w:szCs w:val="36"/>
              </w:rPr>
              <w:t>X</w:t>
            </w:r>
          </w:p>
        </w:tc>
        <w:tc>
          <w:tcPr>
            <w:tcW w:w="1092" w:type="dxa"/>
            <w:vAlign w:val="center"/>
          </w:tcPr>
          <w:p w14:paraId="6F863727" w14:textId="77777777" w:rsidR="008E1979" w:rsidRPr="00FF4589" w:rsidRDefault="00FF4589" w:rsidP="00FF4589">
            <w:pPr>
              <w:jc w:val="center"/>
              <w:rPr>
                <w:b/>
                <w:color w:val="FF0000"/>
                <w:sz w:val="36"/>
                <w:szCs w:val="36"/>
              </w:rPr>
            </w:pPr>
            <w:r w:rsidRPr="00FF4589">
              <w:rPr>
                <w:b/>
                <w:color w:val="FF0000"/>
                <w:sz w:val="36"/>
                <w:szCs w:val="36"/>
              </w:rPr>
              <w:t>X</w:t>
            </w:r>
          </w:p>
        </w:tc>
      </w:tr>
      <w:tr w:rsidR="00FF4589" w14:paraId="0B579BFF" w14:textId="77777777" w:rsidTr="000F187D">
        <w:tc>
          <w:tcPr>
            <w:tcW w:w="1091" w:type="dxa"/>
            <w:shd w:val="clear" w:color="auto" w:fill="F2F2F2" w:themeFill="background1" w:themeFillShade="F2"/>
          </w:tcPr>
          <w:p w14:paraId="6D3092FC" w14:textId="77777777" w:rsidR="008E1979" w:rsidRDefault="008E1979" w:rsidP="008E1979">
            <w:pPr>
              <w:jc w:val="center"/>
            </w:pPr>
            <w:r>
              <w:rPr>
                <w:noProof/>
              </w:rPr>
              <w:drawing>
                <wp:inline distT="0" distB="0" distL="0" distR="0" wp14:anchorId="36EAC252" wp14:editId="672D82CD">
                  <wp:extent cx="446926" cy="446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926" cy="446400"/>
                          </a:xfrm>
                          <a:prstGeom prst="rect">
                            <a:avLst/>
                          </a:prstGeom>
                          <a:noFill/>
                          <a:ln>
                            <a:noFill/>
                          </a:ln>
                        </pic:spPr>
                      </pic:pic>
                    </a:graphicData>
                  </a:graphic>
                </wp:inline>
              </w:drawing>
            </w:r>
          </w:p>
        </w:tc>
        <w:tc>
          <w:tcPr>
            <w:tcW w:w="1091" w:type="dxa"/>
            <w:vAlign w:val="center"/>
          </w:tcPr>
          <w:p w14:paraId="7B83AD9A"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05A7E80E"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157E2559"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236B8D04" w14:textId="77777777" w:rsidR="008E1979" w:rsidRPr="00FF4589" w:rsidRDefault="00FF4589" w:rsidP="00FF4589">
            <w:pPr>
              <w:jc w:val="center"/>
              <w:rPr>
                <w:b/>
                <w:sz w:val="36"/>
                <w:szCs w:val="36"/>
              </w:rPr>
            </w:pPr>
            <w:r w:rsidRPr="00FF4589">
              <w:rPr>
                <w:b/>
                <w:color w:val="00B050"/>
                <w:sz w:val="36"/>
                <w:szCs w:val="36"/>
              </w:rPr>
              <w:t>OK</w:t>
            </w:r>
          </w:p>
        </w:tc>
        <w:tc>
          <w:tcPr>
            <w:tcW w:w="1091" w:type="dxa"/>
            <w:vAlign w:val="center"/>
          </w:tcPr>
          <w:p w14:paraId="700DA971"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572A4FD5"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0D457AEB" w14:textId="77777777" w:rsidR="008E1979" w:rsidRPr="00FF4589" w:rsidRDefault="00FF4589" w:rsidP="00FF4589">
            <w:pPr>
              <w:jc w:val="center"/>
              <w:rPr>
                <w:b/>
                <w:color w:val="FF0000"/>
                <w:sz w:val="36"/>
                <w:szCs w:val="36"/>
              </w:rPr>
            </w:pPr>
            <w:r w:rsidRPr="00FF4589">
              <w:rPr>
                <w:b/>
                <w:color w:val="FF0000"/>
                <w:sz w:val="36"/>
                <w:szCs w:val="36"/>
              </w:rPr>
              <w:t>X</w:t>
            </w:r>
          </w:p>
        </w:tc>
        <w:tc>
          <w:tcPr>
            <w:tcW w:w="1092" w:type="dxa"/>
            <w:vAlign w:val="center"/>
          </w:tcPr>
          <w:p w14:paraId="3D89495C" w14:textId="77777777" w:rsidR="008E1979" w:rsidRPr="00FF4589" w:rsidRDefault="00FF4589" w:rsidP="00FF4589">
            <w:pPr>
              <w:jc w:val="center"/>
              <w:rPr>
                <w:b/>
                <w:color w:val="FF0000"/>
                <w:sz w:val="36"/>
                <w:szCs w:val="36"/>
              </w:rPr>
            </w:pPr>
            <w:r w:rsidRPr="00FF4589">
              <w:rPr>
                <w:b/>
                <w:color w:val="FF0000"/>
                <w:sz w:val="36"/>
                <w:szCs w:val="36"/>
              </w:rPr>
              <w:t>X</w:t>
            </w:r>
          </w:p>
        </w:tc>
        <w:tc>
          <w:tcPr>
            <w:tcW w:w="1092" w:type="dxa"/>
            <w:vAlign w:val="center"/>
          </w:tcPr>
          <w:p w14:paraId="56D02CE8" w14:textId="77777777" w:rsidR="008E1979" w:rsidRPr="00FF4589" w:rsidRDefault="00FF4589" w:rsidP="00FF4589">
            <w:pPr>
              <w:jc w:val="center"/>
              <w:rPr>
                <w:b/>
                <w:color w:val="FF0000"/>
                <w:sz w:val="36"/>
                <w:szCs w:val="36"/>
              </w:rPr>
            </w:pPr>
            <w:r w:rsidRPr="00FF4589">
              <w:rPr>
                <w:b/>
                <w:color w:val="FF0000"/>
                <w:sz w:val="36"/>
                <w:szCs w:val="36"/>
              </w:rPr>
              <w:t>X</w:t>
            </w:r>
          </w:p>
        </w:tc>
      </w:tr>
      <w:tr w:rsidR="00FF4589" w14:paraId="3205EE0C" w14:textId="77777777" w:rsidTr="000F187D">
        <w:tc>
          <w:tcPr>
            <w:tcW w:w="1091" w:type="dxa"/>
            <w:shd w:val="clear" w:color="auto" w:fill="F2F2F2" w:themeFill="background1" w:themeFillShade="F2"/>
          </w:tcPr>
          <w:p w14:paraId="3B0845B3" w14:textId="77777777" w:rsidR="008E1979" w:rsidRDefault="008E1979" w:rsidP="008E1979">
            <w:pPr>
              <w:jc w:val="center"/>
            </w:pPr>
            <w:r>
              <w:rPr>
                <w:noProof/>
              </w:rPr>
              <w:drawing>
                <wp:inline distT="0" distB="0" distL="0" distR="0" wp14:anchorId="57FFE975" wp14:editId="0FAC186E">
                  <wp:extent cx="446400" cy="446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1" w:type="dxa"/>
            <w:vAlign w:val="center"/>
          </w:tcPr>
          <w:p w14:paraId="4766C97B"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4D4C4B46"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02F0A33C"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64B2F05D"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3FBC0923"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2BB75D08"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3478C32A" w14:textId="77777777" w:rsidR="008E1979" w:rsidRPr="00FF4589" w:rsidRDefault="00FF4589" w:rsidP="00FF4589">
            <w:pPr>
              <w:jc w:val="center"/>
              <w:rPr>
                <w:b/>
                <w:color w:val="FFC000"/>
                <w:sz w:val="36"/>
                <w:szCs w:val="36"/>
              </w:rPr>
            </w:pPr>
            <w:r w:rsidRPr="00FF4589">
              <w:rPr>
                <w:b/>
                <w:color w:val="FFC000"/>
                <w:sz w:val="36"/>
                <w:szCs w:val="36"/>
              </w:rPr>
              <w:t>?</w:t>
            </w:r>
          </w:p>
        </w:tc>
        <w:tc>
          <w:tcPr>
            <w:tcW w:w="1092" w:type="dxa"/>
            <w:vAlign w:val="center"/>
          </w:tcPr>
          <w:p w14:paraId="17E3F222" w14:textId="77777777" w:rsidR="008E1979" w:rsidRPr="00FF4589" w:rsidRDefault="00FF4589" w:rsidP="00FF4589">
            <w:pPr>
              <w:jc w:val="center"/>
              <w:rPr>
                <w:b/>
                <w:color w:val="FFC000"/>
                <w:sz w:val="36"/>
                <w:szCs w:val="36"/>
              </w:rPr>
            </w:pPr>
            <w:r w:rsidRPr="00FF4589">
              <w:rPr>
                <w:b/>
                <w:color w:val="FFC000"/>
                <w:sz w:val="36"/>
                <w:szCs w:val="36"/>
              </w:rPr>
              <w:t>?</w:t>
            </w:r>
          </w:p>
        </w:tc>
        <w:tc>
          <w:tcPr>
            <w:tcW w:w="1092" w:type="dxa"/>
            <w:vAlign w:val="center"/>
          </w:tcPr>
          <w:p w14:paraId="1ECCCDF5" w14:textId="77777777" w:rsidR="008E1979" w:rsidRPr="00FF4589" w:rsidRDefault="00FF4589" w:rsidP="00FF4589">
            <w:pPr>
              <w:jc w:val="center"/>
              <w:rPr>
                <w:b/>
                <w:color w:val="FFC000"/>
                <w:sz w:val="36"/>
                <w:szCs w:val="36"/>
              </w:rPr>
            </w:pPr>
            <w:r w:rsidRPr="00FF4589">
              <w:rPr>
                <w:b/>
                <w:color w:val="FFC000"/>
                <w:sz w:val="36"/>
                <w:szCs w:val="36"/>
              </w:rPr>
              <w:t>?</w:t>
            </w:r>
          </w:p>
        </w:tc>
      </w:tr>
      <w:tr w:rsidR="00FF4589" w14:paraId="1F8E2EDD" w14:textId="77777777" w:rsidTr="000F187D">
        <w:tc>
          <w:tcPr>
            <w:tcW w:w="1091" w:type="dxa"/>
            <w:shd w:val="clear" w:color="auto" w:fill="F2F2F2" w:themeFill="background1" w:themeFillShade="F2"/>
          </w:tcPr>
          <w:p w14:paraId="288A051F" w14:textId="77777777" w:rsidR="008E1979" w:rsidRDefault="003677DD" w:rsidP="008E1979">
            <w:pPr>
              <w:jc w:val="center"/>
            </w:pPr>
            <w:r>
              <w:rPr>
                <w:noProof/>
              </w:rPr>
              <w:drawing>
                <wp:inline distT="0" distB="0" distL="0" distR="0" wp14:anchorId="5831EF27" wp14:editId="0EB0980B">
                  <wp:extent cx="444500" cy="4445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44500" cy="444500"/>
                          </a:xfrm>
                          <a:prstGeom prst="rect">
                            <a:avLst/>
                          </a:prstGeom>
                          <a:noFill/>
                          <a:ln>
                            <a:noFill/>
                          </a:ln>
                        </pic:spPr>
                      </pic:pic>
                    </a:graphicData>
                  </a:graphic>
                </wp:inline>
              </w:drawing>
            </w:r>
          </w:p>
        </w:tc>
        <w:tc>
          <w:tcPr>
            <w:tcW w:w="1091" w:type="dxa"/>
            <w:vAlign w:val="center"/>
          </w:tcPr>
          <w:p w14:paraId="51F34A08"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7D6BF197"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31202225"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38CABBAF"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548F0509"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0DC109A8"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419C2E46"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1FA80EC5"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0D4B5F28" w14:textId="77777777" w:rsidR="008E1979" w:rsidRPr="00FF4589" w:rsidRDefault="00FF4589" w:rsidP="00FF4589">
            <w:pPr>
              <w:jc w:val="center"/>
              <w:rPr>
                <w:b/>
                <w:color w:val="00B050"/>
                <w:sz w:val="36"/>
                <w:szCs w:val="36"/>
              </w:rPr>
            </w:pPr>
            <w:r w:rsidRPr="00FF4589">
              <w:rPr>
                <w:b/>
                <w:color w:val="00B050"/>
                <w:sz w:val="36"/>
                <w:szCs w:val="36"/>
              </w:rPr>
              <w:t>OK</w:t>
            </w:r>
          </w:p>
        </w:tc>
      </w:tr>
      <w:tr w:rsidR="00FF4589" w14:paraId="414B74D7" w14:textId="77777777" w:rsidTr="000F187D">
        <w:tc>
          <w:tcPr>
            <w:tcW w:w="1091" w:type="dxa"/>
            <w:shd w:val="clear" w:color="auto" w:fill="F2F2F2" w:themeFill="background1" w:themeFillShade="F2"/>
          </w:tcPr>
          <w:p w14:paraId="2CA8AA01" w14:textId="77777777" w:rsidR="008E1979" w:rsidRDefault="003677DD" w:rsidP="008E1979">
            <w:pPr>
              <w:jc w:val="center"/>
            </w:pPr>
            <w:r>
              <w:rPr>
                <w:noProof/>
              </w:rPr>
              <w:drawing>
                <wp:inline distT="0" distB="0" distL="0" distR="0" wp14:anchorId="27C58E8D" wp14:editId="60FA85AC">
                  <wp:extent cx="446400" cy="446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1" w:type="dxa"/>
            <w:vAlign w:val="center"/>
          </w:tcPr>
          <w:p w14:paraId="5D8EBA69"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47922403"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4C7C6713"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5B8B1187"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012C48C8"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1AF0C0E1"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21242F43"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0435F32D"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24BEA84E" w14:textId="77777777" w:rsidR="008E1979" w:rsidRPr="00FF4589" w:rsidRDefault="00FF4589" w:rsidP="00FF4589">
            <w:pPr>
              <w:jc w:val="center"/>
              <w:rPr>
                <w:b/>
                <w:color w:val="00B050"/>
                <w:sz w:val="36"/>
                <w:szCs w:val="36"/>
              </w:rPr>
            </w:pPr>
            <w:r w:rsidRPr="00FF4589">
              <w:rPr>
                <w:b/>
                <w:color w:val="00B050"/>
                <w:sz w:val="36"/>
                <w:szCs w:val="36"/>
              </w:rPr>
              <w:t>OK</w:t>
            </w:r>
          </w:p>
        </w:tc>
      </w:tr>
      <w:tr w:rsidR="00FF4589" w14:paraId="272D320D" w14:textId="77777777" w:rsidTr="000F187D">
        <w:tc>
          <w:tcPr>
            <w:tcW w:w="1091" w:type="dxa"/>
            <w:shd w:val="clear" w:color="auto" w:fill="F2F2F2" w:themeFill="background1" w:themeFillShade="F2"/>
          </w:tcPr>
          <w:p w14:paraId="06CE3CA8" w14:textId="77777777" w:rsidR="008E1979" w:rsidRDefault="003677DD" w:rsidP="008E1979">
            <w:pPr>
              <w:jc w:val="center"/>
            </w:pPr>
            <w:r>
              <w:rPr>
                <w:noProof/>
              </w:rPr>
              <w:drawing>
                <wp:inline distT="0" distB="0" distL="0" distR="0" wp14:anchorId="05E6F825" wp14:editId="08CA630F">
                  <wp:extent cx="446400" cy="4464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46400" cy="446400"/>
                          </a:xfrm>
                          <a:prstGeom prst="rect">
                            <a:avLst/>
                          </a:prstGeom>
                          <a:noFill/>
                          <a:ln>
                            <a:noFill/>
                          </a:ln>
                        </pic:spPr>
                      </pic:pic>
                    </a:graphicData>
                  </a:graphic>
                </wp:inline>
              </w:drawing>
            </w:r>
          </w:p>
        </w:tc>
        <w:tc>
          <w:tcPr>
            <w:tcW w:w="1091" w:type="dxa"/>
            <w:vAlign w:val="center"/>
          </w:tcPr>
          <w:p w14:paraId="30F99B0D"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72BE0707"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7F20986B"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20842AE6"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096E6DEF"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6C7C1C06"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704C06D7"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2FAF5F44"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75E6829A" w14:textId="77777777" w:rsidR="008E1979" w:rsidRPr="00FF4589" w:rsidRDefault="00FF4589" w:rsidP="00FF4589">
            <w:pPr>
              <w:jc w:val="center"/>
              <w:rPr>
                <w:b/>
                <w:color w:val="00B050"/>
                <w:sz w:val="36"/>
                <w:szCs w:val="36"/>
              </w:rPr>
            </w:pPr>
            <w:r w:rsidRPr="00FF4589">
              <w:rPr>
                <w:b/>
                <w:color w:val="00B050"/>
                <w:sz w:val="36"/>
                <w:szCs w:val="36"/>
              </w:rPr>
              <w:t>OK</w:t>
            </w:r>
          </w:p>
        </w:tc>
      </w:tr>
      <w:tr w:rsidR="00FF4589" w14:paraId="22CDB2DF" w14:textId="77777777" w:rsidTr="000F187D">
        <w:tc>
          <w:tcPr>
            <w:tcW w:w="1091" w:type="dxa"/>
            <w:shd w:val="clear" w:color="auto" w:fill="F2F2F2" w:themeFill="background1" w:themeFillShade="F2"/>
          </w:tcPr>
          <w:p w14:paraId="0BE5E9FA" w14:textId="77777777" w:rsidR="008E1979" w:rsidRDefault="00FF4589" w:rsidP="008E1979">
            <w:pPr>
              <w:jc w:val="center"/>
            </w:pPr>
            <w:r>
              <w:rPr>
                <w:noProof/>
              </w:rPr>
              <w:drawing>
                <wp:inline distT="0" distB="0" distL="0" distR="0" wp14:anchorId="5746F217" wp14:editId="57C24CAC">
                  <wp:extent cx="446400" cy="4464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inline>
              </w:drawing>
            </w:r>
          </w:p>
        </w:tc>
        <w:tc>
          <w:tcPr>
            <w:tcW w:w="1091" w:type="dxa"/>
            <w:vAlign w:val="center"/>
          </w:tcPr>
          <w:p w14:paraId="0E4DD9B7"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5BA5F64E"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08E6EA5A"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1DB93445" w14:textId="77777777" w:rsidR="008E1979" w:rsidRPr="00FF4589" w:rsidRDefault="00FF4589" w:rsidP="00FF4589">
            <w:pPr>
              <w:jc w:val="center"/>
              <w:rPr>
                <w:b/>
                <w:color w:val="FF0000"/>
                <w:sz w:val="36"/>
                <w:szCs w:val="36"/>
              </w:rPr>
            </w:pPr>
            <w:r w:rsidRPr="00FF4589">
              <w:rPr>
                <w:b/>
                <w:color w:val="FF0000"/>
                <w:sz w:val="36"/>
                <w:szCs w:val="36"/>
              </w:rPr>
              <w:t>X</w:t>
            </w:r>
          </w:p>
        </w:tc>
        <w:tc>
          <w:tcPr>
            <w:tcW w:w="1091" w:type="dxa"/>
            <w:vAlign w:val="center"/>
          </w:tcPr>
          <w:p w14:paraId="65171008" w14:textId="77777777" w:rsidR="008E1979" w:rsidRPr="00FF4589" w:rsidRDefault="00FF4589" w:rsidP="00FF4589">
            <w:pPr>
              <w:jc w:val="center"/>
              <w:rPr>
                <w:b/>
                <w:color w:val="FFC000"/>
                <w:sz w:val="36"/>
                <w:szCs w:val="36"/>
              </w:rPr>
            </w:pPr>
            <w:r w:rsidRPr="00FF4589">
              <w:rPr>
                <w:b/>
                <w:color w:val="FFC000"/>
                <w:sz w:val="36"/>
                <w:szCs w:val="36"/>
              </w:rPr>
              <w:t>?</w:t>
            </w:r>
          </w:p>
        </w:tc>
        <w:tc>
          <w:tcPr>
            <w:tcW w:w="1091" w:type="dxa"/>
            <w:vAlign w:val="center"/>
          </w:tcPr>
          <w:p w14:paraId="40CF025C"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1" w:type="dxa"/>
            <w:vAlign w:val="center"/>
          </w:tcPr>
          <w:p w14:paraId="609A5C23"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1CCD86F4" w14:textId="77777777" w:rsidR="008E1979" w:rsidRPr="00FF4589" w:rsidRDefault="00FF4589" w:rsidP="00FF4589">
            <w:pPr>
              <w:jc w:val="center"/>
              <w:rPr>
                <w:b/>
                <w:color w:val="00B050"/>
                <w:sz w:val="36"/>
                <w:szCs w:val="36"/>
              </w:rPr>
            </w:pPr>
            <w:r w:rsidRPr="00FF4589">
              <w:rPr>
                <w:b/>
                <w:color w:val="00B050"/>
                <w:sz w:val="36"/>
                <w:szCs w:val="36"/>
              </w:rPr>
              <w:t>OK</w:t>
            </w:r>
          </w:p>
        </w:tc>
        <w:tc>
          <w:tcPr>
            <w:tcW w:w="1092" w:type="dxa"/>
            <w:vAlign w:val="center"/>
          </w:tcPr>
          <w:p w14:paraId="13BF091F" w14:textId="77777777" w:rsidR="008E1979" w:rsidRPr="00FF4589" w:rsidRDefault="00FF4589" w:rsidP="00FF4589">
            <w:pPr>
              <w:jc w:val="center"/>
              <w:rPr>
                <w:b/>
                <w:color w:val="00B050"/>
                <w:sz w:val="36"/>
                <w:szCs w:val="36"/>
              </w:rPr>
            </w:pPr>
            <w:r w:rsidRPr="00FF4589">
              <w:rPr>
                <w:b/>
                <w:color w:val="00B050"/>
                <w:sz w:val="36"/>
                <w:szCs w:val="36"/>
              </w:rPr>
              <w:t>OK</w:t>
            </w:r>
          </w:p>
        </w:tc>
      </w:tr>
    </w:tbl>
    <w:p w14:paraId="4853C8DD" w14:textId="5CB961A4" w:rsidR="001A558A" w:rsidRDefault="00A46740" w:rsidP="00A46740">
      <w:pPr>
        <w:tabs>
          <w:tab w:val="left" w:pos="570"/>
        </w:tabs>
      </w:pPr>
      <w:r>
        <w:rPr>
          <w:b/>
          <w:color w:val="FF0000"/>
          <w:sz w:val="36"/>
        </w:rPr>
        <w:lastRenderedPageBreak/>
        <w:t>X </w:t>
      </w:r>
      <w:r>
        <w:t>: Produits incompatibles, ne doivent pas être stockés ensemble</w:t>
      </w:r>
      <w:r w:rsidR="000E771C">
        <w:t>.</w:t>
      </w:r>
    </w:p>
    <w:p w14:paraId="514D946F" w14:textId="77777777" w:rsidR="00A46740" w:rsidRDefault="00A46740" w:rsidP="00A46740">
      <w:pPr>
        <w:tabs>
          <w:tab w:val="left" w:pos="570"/>
        </w:tabs>
      </w:pPr>
      <w:r>
        <w:rPr>
          <w:b/>
          <w:color w:val="FFC000"/>
          <w:sz w:val="36"/>
        </w:rPr>
        <w:t>? </w:t>
      </w:r>
      <w:r>
        <w:t xml:space="preserve">: Produits qui peuvent être stockés ensemble </w:t>
      </w:r>
      <w:r>
        <w:rPr>
          <w:b/>
        </w:rPr>
        <w:t>sous certaines conditions</w:t>
      </w:r>
      <w:r>
        <w:t>, se référer à la section n°10 des FDS « Stabilité et réactivité » afin de déterminer s’il y a de possibles incompatibilités entre produits.</w:t>
      </w:r>
    </w:p>
    <w:p w14:paraId="28445179" w14:textId="4EE3C22B" w:rsidR="00A46740" w:rsidRDefault="00A46740" w:rsidP="00A46740">
      <w:pPr>
        <w:tabs>
          <w:tab w:val="left" w:pos="570"/>
        </w:tabs>
      </w:pPr>
      <w:r>
        <w:rPr>
          <w:b/>
          <w:color w:val="00B050"/>
          <w:sz w:val="36"/>
        </w:rPr>
        <w:t>OK </w:t>
      </w:r>
      <w:r>
        <w:t>: Produits qui peuvent être stockés ensemble</w:t>
      </w:r>
      <w:r w:rsidR="000E771C">
        <w:t>.</w:t>
      </w:r>
    </w:p>
    <w:p w14:paraId="5FF65F0E" w14:textId="77777777" w:rsidR="00570B62" w:rsidRDefault="00570B62" w:rsidP="00A46740">
      <w:pPr>
        <w:tabs>
          <w:tab w:val="left" w:pos="570"/>
        </w:tabs>
      </w:pPr>
    </w:p>
    <w:p w14:paraId="09A97C99" w14:textId="77777777" w:rsidR="00570B62" w:rsidRDefault="00570B62" w:rsidP="00A46740">
      <w:pPr>
        <w:tabs>
          <w:tab w:val="left" w:pos="570"/>
        </w:tabs>
      </w:pPr>
      <w:r>
        <w:rPr>
          <w:u w:val="single"/>
        </w:rPr>
        <w:t>Si l’étiquetage d’un produit comporte plusieurs pictogrammes,</w:t>
      </w:r>
      <w:r>
        <w:t xml:space="preserve"> le stockage sécurisé sera défini en fonction de la règle de priorité suivante :</w:t>
      </w:r>
    </w:p>
    <w:p w14:paraId="461DAB42" w14:textId="77777777" w:rsidR="00715170" w:rsidRDefault="00715170" w:rsidP="00A46740">
      <w:pPr>
        <w:tabs>
          <w:tab w:val="left" w:pos="570"/>
        </w:tabs>
      </w:pPr>
    </w:p>
    <w:p w14:paraId="7B3FED39" w14:textId="77777777" w:rsidR="00715170" w:rsidRPr="00570B62" w:rsidRDefault="00715170" w:rsidP="00715170">
      <w:pPr>
        <w:tabs>
          <w:tab w:val="left" w:pos="570"/>
        </w:tabs>
        <w:jc w:val="center"/>
      </w:pPr>
      <w:r>
        <w:rPr>
          <w:noProof/>
        </w:rPr>
        <w:drawing>
          <wp:inline distT="0" distB="0" distL="0" distR="0" wp14:anchorId="5404470A" wp14:editId="43261B55">
            <wp:extent cx="5156200" cy="9161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09962" cy="943489"/>
                    </a:xfrm>
                    <a:prstGeom prst="rect">
                      <a:avLst/>
                    </a:prstGeom>
                  </pic:spPr>
                </pic:pic>
              </a:graphicData>
            </a:graphic>
          </wp:inline>
        </w:drawing>
      </w:r>
    </w:p>
    <w:p w14:paraId="5E7C9346" w14:textId="77777777" w:rsidR="00570B62" w:rsidRDefault="00570B62" w:rsidP="00A46740">
      <w:pPr>
        <w:tabs>
          <w:tab w:val="left" w:pos="570"/>
        </w:tabs>
      </w:pPr>
    </w:p>
    <w:p w14:paraId="6C2AD019" w14:textId="77777777" w:rsidR="00570B62" w:rsidRDefault="00570B62" w:rsidP="00A46740">
      <w:pPr>
        <w:tabs>
          <w:tab w:val="left" w:pos="570"/>
        </w:tabs>
      </w:pPr>
      <w:r>
        <w:t>Parmi les produits incompatibles les plus courants, on peut citer :</w:t>
      </w:r>
    </w:p>
    <w:p w14:paraId="417E4FF5" w14:textId="77777777" w:rsidR="00570B62" w:rsidRDefault="00570B62" w:rsidP="00A46740">
      <w:pPr>
        <w:tabs>
          <w:tab w:val="left" w:pos="570"/>
        </w:tabs>
      </w:pPr>
    </w:p>
    <w:p w14:paraId="25CE5408" w14:textId="77777777" w:rsidR="00570B62" w:rsidRDefault="00715170" w:rsidP="00CA1C05">
      <w:pPr>
        <w:pStyle w:val="Paragraphedeliste"/>
        <w:numPr>
          <w:ilvl w:val="0"/>
          <w:numId w:val="24"/>
        </w:numPr>
        <w:tabs>
          <w:tab w:val="left" w:pos="570"/>
        </w:tabs>
      </w:pPr>
      <w:r>
        <w:t xml:space="preserve">Les acides et les bases concentrés </w:t>
      </w:r>
      <w:r w:rsidR="00CA1C05">
        <w:t xml:space="preserve">réagissent violemment ensemble en provoquant notamment des réactions exothermiques (dégageant de la chaleur). On peut citer notamment l’eau de javel dont le stockage doit s’accompagner de précautions particulières, à l’écart des acides. </w:t>
      </w:r>
    </w:p>
    <w:p w14:paraId="777A6B34" w14:textId="77777777" w:rsidR="00C5006E" w:rsidRDefault="00C5006E" w:rsidP="00C5006E">
      <w:pPr>
        <w:pStyle w:val="Paragraphedeliste"/>
        <w:numPr>
          <w:ilvl w:val="0"/>
          <w:numId w:val="0"/>
        </w:numPr>
        <w:tabs>
          <w:tab w:val="left" w:pos="570"/>
        </w:tabs>
        <w:ind w:left="720"/>
      </w:pPr>
    </w:p>
    <w:p w14:paraId="2E6FA1DA" w14:textId="77777777" w:rsidR="00C5006E" w:rsidRDefault="00CA1C05" w:rsidP="00C5006E">
      <w:pPr>
        <w:pStyle w:val="Paragraphedeliste"/>
        <w:numPr>
          <w:ilvl w:val="0"/>
          <w:numId w:val="24"/>
        </w:numPr>
        <w:tabs>
          <w:tab w:val="left" w:pos="570"/>
        </w:tabs>
      </w:pPr>
      <w:r>
        <w:t>On veillera à stocker séparément les produits toxiques des produits inflammables, les effets toxiques sont en effet aggravés en cas d’incendie.</w:t>
      </w:r>
    </w:p>
    <w:p w14:paraId="0BA0FAB2" w14:textId="77777777" w:rsidR="00C5006E" w:rsidRDefault="00C5006E" w:rsidP="00C5006E">
      <w:pPr>
        <w:pStyle w:val="Paragraphedeliste"/>
        <w:numPr>
          <w:ilvl w:val="0"/>
          <w:numId w:val="0"/>
        </w:numPr>
        <w:tabs>
          <w:tab w:val="left" w:pos="570"/>
        </w:tabs>
        <w:ind w:left="720"/>
      </w:pPr>
    </w:p>
    <w:p w14:paraId="39BE319E" w14:textId="77777777" w:rsidR="00532DBA" w:rsidRDefault="00CA1C05" w:rsidP="00532DBA">
      <w:pPr>
        <w:pStyle w:val="Paragraphedeliste"/>
        <w:numPr>
          <w:ilvl w:val="0"/>
          <w:numId w:val="24"/>
        </w:numPr>
        <w:tabs>
          <w:tab w:val="left" w:pos="570"/>
        </w:tabs>
      </w:pPr>
      <w:r>
        <w:t>Les bouteilles de gaz devront être stockés à l’écart des produits inflammables, idéalement en extérieur sous abri. Le gaz étant plus lourd que l’air, il peut s’accumuler très facilement en sous-sol et déclencher des incendies en présence d’étincelles ou de points chauds.</w:t>
      </w:r>
    </w:p>
    <w:p w14:paraId="508241A8" w14:textId="77777777" w:rsidR="00532DBA" w:rsidRDefault="00532DBA" w:rsidP="00532DBA"/>
    <w:p w14:paraId="301D99E8" w14:textId="77777777" w:rsidR="00532DBA" w:rsidRDefault="00532DBA" w:rsidP="00532DBA">
      <w:pPr>
        <w:pStyle w:val="Paragraphedeliste"/>
        <w:numPr>
          <w:ilvl w:val="0"/>
          <w:numId w:val="24"/>
        </w:numPr>
        <w:tabs>
          <w:tab w:val="left" w:pos="570"/>
        </w:tabs>
      </w:pPr>
      <w:r>
        <w:t xml:space="preserve">Certains produits réagissent violemment avec l’eau, ces informations sont disponibles dans la section 10 de la FDS du produit considéré. Dans ce cas, il est essentiel d’isoler ce produit de toute source d’eau </w:t>
      </w:r>
      <w:r w:rsidR="003D7BC8">
        <w:t>afin de limiter les risques liés au stockage de ce type de produit.</w:t>
      </w:r>
    </w:p>
    <w:p w14:paraId="7AA624E1" w14:textId="77777777" w:rsidR="00532DBA" w:rsidRPr="00A46740" w:rsidRDefault="00532DBA" w:rsidP="00532DBA">
      <w:pPr>
        <w:tabs>
          <w:tab w:val="left" w:pos="570"/>
        </w:tabs>
      </w:pPr>
    </w:p>
    <w:p w14:paraId="52E1D681" w14:textId="77777777" w:rsidR="00A46740" w:rsidRPr="00A46740" w:rsidRDefault="00A46740" w:rsidP="00A46740">
      <w:pPr>
        <w:tabs>
          <w:tab w:val="left" w:pos="570"/>
        </w:tabs>
      </w:pPr>
    </w:p>
    <w:p w14:paraId="3CEEFBFD" w14:textId="77777777" w:rsidR="001A558A" w:rsidRDefault="001A558A" w:rsidP="005B7706">
      <w:pPr>
        <w:jc w:val="right"/>
        <w:rPr>
          <w:sz w:val="18"/>
        </w:rPr>
      </w:pPr>
    </w:p>
    <w:p w14:paraId="3745ECAE" w14:textId="77777777" w:rsidR="003B16D6" w:rsidRDefault="003B16D6" w:rsidP="005B7706">
      <w:pPr>
        <w:jc w:val="right"/>
        <w:rPr>
          <w:sz w:val="18"/>
        </w:rPr>
      </w:pPr>
    </w:p>
    <w:p w14:paraId="1095ABE7" w14:textId="77777777" w:rsidR="003B16D6" w:rsidRDefault="003B16D6" w:rsidP="005B7706">
      <w:pPr>
        <w:jc w:val="right"/>
        <w:rPr>
          <w:sz w:val="18"/>
        </w:rPr>
      </w:pPr>
    </w:p>
    <w:p w14:paraId="58F0647B" w14:textId="77777777" w:rsidR="003B16D6" w:rsidRDefault="003B16D6" w:rsidP="005B7706">
      <w:pPr>
        <w:jc w:val="right"/>
        <w:rPr>
          <w:sz w:val="18"/>
        </w:rPr>
      </w:pPr>
    </w:p>
    <w:p w14:paraId="194B98EE" w14:textId="77777777" w:rsidR="003B16D6" w:rsidRDefault="003B16D6" w:rsidP="005B7706">
      <w:pPr>
        <w:jc w:val="right"/>
        <w:rPr>
          <w:sz w:val="18"/>
        </w:rPr>
      </w:pPr>
    </w:p>
    <w:p w14:paraId="04369890" w14:textId="77777777" w:rsidR="003B16D6" w:rsidRDefault="003B16D6" w:rsidP="005B7706">
      <w:pPr>
        <w:jc w:val="right"/>
        <w:rPr>
          <w:sz w:val="18"/>
        </w:rPr>
      </w:pPr>
    </w:p>
    <w:p w14:paraId="3D878555" w14:textId="77777777" w:rsidR="003B16D6" w:rsidRDefault="003B16D6" w:rsidP="005B7706">
      <w:pPr>
        <w:jc w:val="right"/>
        <w:rPr>
          <w:sz w:val="18"/>
        </w:rPr>
      </w:pPr>
    </w:p>
    <w:p w14:paraId="1312F07D" w14:textId="77777777" w:rsidR="003B16D6" w:rsidRDefault="003B16D6" w:rsidP="005B7706">
      <w:pPr>
        <w:jc w:val="right"/>
        <w:rPr>
          <w:sz w:val="18"/>
        </w:rPr>
      </w:pPr>
    </w:p>
    <w:p w14:paraId="58A0A062" w14:textId="77777777" w:rsidR="003B16D6" w:rsidRDefault="003B16D6" w:rsidP="005B7706">
      <w:pPr>
        <w:jc w:val="right"/>
        <w:rPr>
          <w:sz w:val="18"/>
        </w:rPr>
      </w:pPr>
    </w:p>
    <w:p w14:paraId="2535B98D" w14:textId="77777777" w:rsidR="003B16D6" w:rsidRDefault="003B16D6" w:rsidP="005B7706">
      <w:pPr>
        <w:jc w:val="right"/>
        <w:rPr>
          <w:sz w:val="18"/>
        </w:rPr>
      </w:pPr>
    </w:p>
    <w:p w14:paraId="191C29EC" w14:textId="77777777" w:rsidR="003B16D6" w:rsidRDefault="003B16D6" w:rsidP="005B7706">
      <w:pPr>
        <w:jc w:val="right"/>
        <w:rPr>
          <w:sz w:val="18"/>
        </w:rPr>
      </w:pPr>
    </w:p>
    <w:p w14:paraId="6880F216" w14:textId="77777777" w:rsidR="003B16D6" w:rsidRDefault="003B16D6" w:rsidP="003047EB">
      <w:pPr>
        <w:rPr>
          <w:sz w:val="18"/>
        </w:rPr>
      </w:pPr>
    </w:p>
    <w:p w14:paraId="35D42E67" w14:textId="77777777" w:rsidR="003B16D6" w:rsidRDefault="003B16D6" w:rsidP="005B7706">
      <w:pPr>
        <w:jc w:val="right"/>
        <w:rPr>
          <w:sz w:val="18"/>
        </w:rPr>
      </w:pPr>
    </w:p>
    <w:p w14:paraId="0D382A6F" w14:textId="77777777" w:rsidR="000E771C" w:rsidRDefault="000E771C" w:rsidP="005B7706">
      <w:pPr>
        <w:jc w:val="right"/>
        <w:rPr>
          <w:sz w:val="18"/>
        </w:rPr>
      </w:pPr>
    </w:p>
    <w:p w14:paraId="00D69F42" w14:textId="77777777" w:rsidR="000E771C" w:rsidRDefault="000E771C" w:rsidP="005B7706">
      <w:pPr>
        <w:jc w:val="right"/>
        <w:rPr>
          <w:sz w:val="18"/>
        </w:rPr>
      </w:pPr>
    </w:p>
    <w:p w14:paraId="2804FB4A" w14:textId="3EC0ADC1" w:rsidR="005B7706" w:rsidRDefault="005B7706" w:rsidP="005B7706">
      <w:pPr>
        <w:jc w:val="right"/>
        <w:rPr>
          <w:sz w:val="18"/>
        </w:rPr>
      </w:pPr>
      <w:bookmarkStart w:id="0" w:name="_GoBack"/>
      <w:bookmarkEnd w:id="0"/>
      <w:r>
        <w:rPr>
          <w:sz w:val="18"/>
        </w:rPr>
        <w:t>Contact :</w:t>
      </w:r>
    </w:p>
    <w:p w14:paraId="290FAB07" w14:textId="382C801F" w:rsidR="005B7706" w:rsidRDefault="000E771C" w:rsidP="000E771C">
      <w:pPr>
        <w:jc w:val="right"/>
        <w:rPr>
          <w:sz w:val="18"/>
        </w:rPr>
      </w:pPr>
      <w:r>
        <w:rPr>
          <w:sz w:val="18"/>
        </w:rPr>
        <w:t>Service Prévention du Pôle Santé au Travail</w:t>
      </w:r>
    </w:p>
    <w:p w14:paraId="1E3BF031" w14:textId="70CDFE18" w:rsidR="000E771C" w:rsidRPr="00F3378B" w:rsidRDefault="000E771C" w:rsidP="000E771C">
      <w:pPr>
        <w:jc w:val="right"/>
        <w:rPr>
          <w:sz w:val="18"/>
        </w:rPr>
      </w:pPr>
      <w:r>
        <w:rPr>
          <w:sz w:val="18"/>
        </w:rPr>
        <w:t>Secrétariat médical : 02 33 80 64 90</w:t>
      </w:r>
    </w:p>
    <w:p w14:paraId="5920E310" w14:textId="77777777" w:rsidR="007415B9" w:rsidRDefault="007415B9" w:rsidP="00BF2BCF"/>
    <w:sectPr w:rsidR="007415B9" w:rsidSect="00114169">
      <w:headerReference w:type="default" r:id="rId19"/>
      <w:footerReference w:type="default" r:id="rId20"/>
      <w:headerReference w:type="first" r:id="rId21"/>
      <w:footerReference w:type="first" r:id="rId22"/>
      <w:type w:val="continuous"/>
      <w:pgSz w:w="11906" w:h="16838"/>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FB23" w14:textId="77777777" w:rsidR="00097D55" w:rsidRDefault="00097D55">
      <w:r>
        <w:separator/>
      </w:r>
    </w:p>
  </w:endnote>
  <w:endnote w:type="continuationSeparator" w:id="0">
    <w:p w14:paraId="06D01A3B" w14:textId="77777777" w:rsidR="00097D55" w:rsidRDefault="0009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4BEE" w14:textId="3918A554" w:rsidR="00097D55" w:rsidRDefault="000E771C" w:rsidP="005E2451">
    <w:pPr>
      <w:pStyle w:val="Pieddepage"/>
      <w:tabs>
        <w:tab w:val="clear" w:pos="4536"/>
        <w:tab w:val="clear" w:pos="9072"/>
        <w:tab w:val="center" w:pos="5387"/>
        <w:tab w:val="right" w:pos="10773"/>
      </w:tabs>
    </w:pPr>
    <w:sdt>
      <w:sdtPr>
        <w:id w:val="7722391"/>
        <w:docPartObj>
          <w:docPartGallery w:val="Page Numbers (Top of Page)"/>
          <w:docPartUnique/>
        </w:docPartObj>
      </w:sdtPr>
      <w:sdtEndPr/>
      <w:sdtContent>
        <w:r>
          <w:t>Création</w:t>
        </w:r>
        <w:r w:rsidR="00097D55">
          <w:t xml:space="preserve"> : </w:t>
        </w:r>
        <w:r w:rsidR="00D46176">
          <w:t>février</w:t>
        </w:r>
        <w:r w:rsidR="00097D55">
          <w:t xml:space="preserve"> 20</w:t>
        </w:r>
        <w:r w:rsidR="00D46176">
          <w:t>20</w:t>
        </w:r>
      </w:sdtContent>
    </w:sdt>
    <w:r w:rsidR="00097D55">
      <w:t xml:space="preserve"> </w:t>
    </w:r>
    <w:sdt>
      <w:sdtPr>
        <w:alias w:val="CDG"/>
        <w:tag w:val="CDG"/>
        <w:id w:val="7722392"/>
        <w:lock w:val="sdtContentLocked"/>
        <w:docPartList>
          <w:docPartGallery w:val="Quick Parts"/>
        </w:docPartList>
      </w:sdtPr>
      <w:sdtEndPr/>
      <w:sdtContent>
        <w:r w:rsidR="00097D55" w:rsidRPr="005810D2">
          <w:rPr>
            <w:noProof/>
          </w:rPr>
          <w:drawing>
            <wp:anchor distT="0" distB="0" distL="114300" distR="114300" simplePos="0" relativeHeight="251676672" behindDoc="1" locked="1" layoutInCell="0" allowOverlap="1" wp14:anchorId="06270BE1" wp14:editId="22FF6D83">
              <wp:simplePos x="0" y="0"/>
              <wp:positionH relativeFrom="page">
                <wp:posOffset>5695950</wp:posOffset>
              </wp:positionH>
              <wp:positionV relativeFrom="page">
                <wp:posOffset>9753600</wp:posOffset>
              </wp:positionV>
              <wp:extent cx="1724025" cy="781050"/>
              <wp:effectExtent l="19050" t="0" r="9525" b="0"/>
              <wp:wrapNone/>
              <wp:docPr id="8"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sdt>
      <w:sdtPr>
        <w:alias w:val="CDG"/>
        <w:tag w:val="CDG"/>
        <w:id w:val="1701421"/>
        <w:lock w:val="sdtContentLocked"/>
        <w:docPartList>
          <w:docPartGallery w:val="Quick Parts"/>
        </w:docPartList>
      </w:sdtPr>
      <w:sdtEndPr/>
      <w:sdtContent>
        <w:r w:rsidR="00097D55" w:rsidRPr="005810D2">
          <w:rPr>
            <w:noProof/>
          </w:rPr>
          <w:drawing>
            <wp:anchor distT="0" distB="0" distL="114300" distR="114300" simplePos="0" relativeHeight="251657216" behindDoc="1" locked="1" layoutInCell="0" allowOverlap="1" wp14:anchorId="3C190BF6" wp14:editId="27ECC040">
              <wp:simplePos x="0" y="0"/>
              <wp:positionH relativeFrom="page">
                <wp:posOffset>5695950</wp:posOffset>
              </wp:positionH>
              <wp:positionV relativeFrom="page">
                <wp:posOffset>9753600</wp:posOffset>
              </wp:positionV>
              <wp:extent cx="1724025" cy="781050"/>
              <wp:effectExtent l="19050" t="0" r="9525" b="0"/>
              <wp:wrapNone/>
              <wp:docPr id="7"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97D55">
      <w:tab/>
      <w:t xml:space="preserve">Page </w:t>
    </w:r>
    <w:r w:rsidR="00715D04">
      <w:fldChar w:fldCharType="begin"/>
    </w:r>
    <w:r w:rsidR="00715D04">
      <w:instrText xml:space="preserve"> PAGE </w:instrText>
    </w:r>
    <w:r w:rsidR="00715D04">
      <w:fldChar w:fldCharType="separate"/>
    </w:r>
    <w:r w:rsidR="00FA3B57">
      <w:rPr>
        <w:noProof/>
      </w:rPr>
      <w:t>3</w:t>
    </w:r>
    <w:r w:rsidR="00715D04">
      <w:rPr>
        <w:noProof/>
      </w:rPr>
      <w:fldChar w:fldCharType="end"/>
    </w:r>
    <w:r w:rsidR="00097D55">
      <w:t xml:space="preserve"> sur </w:t>
    </w:r>
    <w:r>
      <w:fldChar w:fldCharType="begin"/>
    </w:r>
    <w:r>
      <w:instrText xml:space="preserve"> NUMPAGES  </w:instrText>
    </w:r>
    <w:r>
      <w:fldChar w:fldCharType="separate"/>
    </w:r>
    <w:r w:rsidR="00FA3B5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283"/>
      <w:docPartObj>
        <w:docPartGallery w:val="Page Numbers (Top of Page)"/>
        <w:docPartUnique/>
      </w:docPartObj>
    </w:sdtPr>
    <w:sdtEndPr/>
    <w:sdtContent>
      <w:p w14:paraId="58152D3A" w14:textId="281D1C74" w:rsidR="00097D55" w:rsidRDefault="000E771C" w:rsidP="00114169">
        <w:pPr>
          <w:pStyle w:val="Pieddepage"/>
          <w:tabs>
            <w:tab w:val="clear" w:pos="4536"/>
            <w:tab w:val="clear" w:pos="9072"/>
            <w:tab w:val="center" w:pos="5387"/>
            <w:tab w:val="right" w:pos="10773"/>
          </w:tabs>
        </w:pPr>
        <w:r>
          <w:t>Création</w:t>
        </w:r>
        <w:r w:rsidR="00097D55">
          <w:t xml:space="preserve"> : </w:t>
        </w:r>
        <w:r w:rsidR="00D46176">
          <w:t>f</w:t>
        </w:r>
        <w:r w:rsidR="003256AC">
          <w:t>évrier 2020</w:t>
        </w:r>
        <w:r w:rsidR="00097D55">
          <w:tab/>
          <w:t xml:space="preserve">Page </w:t>
        </w:r>
        <w:r w:rsidR="00715D04">
          <w:fldChar w:fldCharType="begin"/>
        </w:r>
        <w:r w:rsidR="00715D04">
          <w:instrText xml:space="preserve"> PAGE </w:instrText>
        </w:r>
        <w:r w:rsidR="00715D04">
          <w:fldChar w:fldCharType="separate"/>
        </w:r>
        <w:r w:rsidR="00FA3B57">
          <w:rPr>
            <w:noProof/>
          </w:rPr>
          <w:t>1</w:t>
        </w:r>
        <w:r w:rsidR="00715D04">
          <w:rPr>
            <w:noProof/>
          </w:rPr>
          <w:fldChar w:fldCharType="end"/>
        </w:r>
        <w:r w:rsidR="00097D55">
          <w:t xml:space="preserve"> sur </w:t>
        </w:r>
        <w:r>
          <w:fldChar w:fldCharType="begin"/>
        </w:r>
        <w:r>
          <w:instrText xml:space="preserve"> NUMPAGES  </w:instrText>
        </w:r>
        <w:r>
          <w:fldChar w:fldCharType="separate"/>
        </w:r>
        <w:r w:rsidR="00FA3B5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9E6D" w14:textId="77777777" w:rsidR="00097D55" w:rsidRDefault="00097D55">
      <w:r>
        <w:separator/>
      </w:r>
    </w:p>
  </w:footnote>
  <w:footnote w:type="continuationSeparator" w:id="0">
    <w:p w14:paraId="7FF42E6C" w14:textId="77777777" w:rsidR="00097D55" w:rsidRDefault="0009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6347" w14:textId="77777777" w:rsidR="00097D55" w:rsidRPr="00315244" w:rsidRDefault="00097D55" w:rsidP="00F935D5">
    <w:pPr>
      <w:pStyle w:val="Sous-titre"/>
    </w:pPr>
    <w:r>
      <w:tab/>
      <w:t>Santé au travail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B645" w14:textId="77777777" w:rsidR="00097D55" w:rsidRPr="00265B6D" w:rsidRDefault="000E771C" w:rsidP="00F935D5">
    <w:pPr>
      <w:pStyle w:val="Sous-titre"/>
    </w:pPr>
    <w:sdt>
      <w:sdtPr>
        <w:id w:val="7722333"/>
        <w:docPartList>
          <w:docPartGallery w:val="Quick Parts"/>
        </w:docPartList>
      </w:sdtPr>
      <w:sdtEndPr/>
      <w:sdtContent>
        <w:r w:rsidR="00097D55" w:rsidRPr="008C0C1B">
          <w:rPr>
            <w:noProof/>
          </w:rPr>
          <w:drawing>
            <wp:anchor distT="0" distB="0" distL="114300" distR="114300" simplePos="0" relativeHeight="251664384" behindDoc="1" locked="1" layoutInCell="0" allowOverlap="1" wp14:anchorId="40980F99" wp14:editId="249B2AD7">
              <wp:simplePos x="0" y="0"/>
              <wp:positionH relativeFrom="page">
                <wp:posOffset>360045</wp:posOffset>
              </wp:positionH>
              <wp:positionV relativeFrom="page">
                <wp:posOffset>360045</wp:posOffset>
              </wp:positionV>
              <wp:extent cx="1801495" cy="933450"/>
              <wp:effectExtent l="19050" t="0" r="8255" b="0"/>
              <wp:wrapNone/>
              <wp:docPr id="5"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r w:rsidR="00097D55" w:rsidRPr="008C0C1B">
      <w:rPr>
        <w:rStyle w:val="Accentuation"/>
        <w:i/>
        <w:iCs/>
        <w:spacing w:val="80"/>
      </w:rPr>
      <w:tab/>
    </w:r>
    <w:r w:rsidR="00097D55">
      <w:t>Santé au travail</w:t>
    </w:r>
  </w:p>
  <w:p w14:paraId="36BA2865" w14:textId="77777777" w:rsidR="00097D55" w:rsidRDefault="000E771C">
    <w:pPr>
      <w:pStyle w:val="En-tte"/>
    </w:pPr>
    <w:sdt>
      <w:sdtPr>
        <w:id w:val="7722310"/>
        <w:docPartList>
          <w:docPartGallery w:val="Quick Parts"/>
        </w:docPartList>
      </w:sdtPr>
      <w:sdtEndPr/>
      <w:sdtContent>
        <w:r w:rsidR="00097D55" w:rsidRPr="008C0C1B">
          <w:rPr>
            <w:noProof/>
          </w:rPr>
          <w:drawing>
            <wp:anchor distT="0" distB="0" distL="114300" distR="114300" simplePos="0" relativeHeight="251662336" behindDoc="1" locked="1" layoutInCell="0" allowOverlap="1" wp14:anchorId="6FC72DCE" wp14:editId="47351E6A">
              <wp:simplePos x="0" y="0"/>
              <wp:positionH relativeFrom="page">
                <wp:posOffset>360045</wp:posOffset>
              </wp:positionH>
              <wp:positionV relativeFrom="page">
                <wp:posOffset>360045</wp:posOffset>
              </wp:positionV>
              <wp:extent cx="1801495" cy="933450"/>
              <wp:effectExtent l="19050" t="0" r="8255" b="0"/>
              <wp:wrapNone/>
              <wp:docPr id="3"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6pt;height:8.25pt;visibility:visible;mso-wrap-style:square" o:bullet="t">
        <v:imagedata r:id="rId1" o:title="-"/>
      </v:shape>
    </w:pict>
  </w:numPicBullet>
  <w:abstractNum w:abstractNumId="0" w15:restartNumberingAfterBreak="0">
    <w:nsid w:val="0E75469F"/>
    <w:multiLevelType w:val="hybridMultilevel"/>
    <w:tmpl w:val="2DD83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C3026"/>
    <w:multiLevelType w:val="multilevel"/>
    <w:tmpl w:val="D5A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AB3"/>
    <w:multiLevelType w:val="hybridMultilevel"/>
    <w:tmpl w:val="9EF6D136"/>
    <w:lvl w:ilvl="0" w:tplc="F626C0CE">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A3987"/>
    <w:multiLevelType w:val="multilevel"/>
    <w:tmpl w:val="83A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53715"/>
    <w:multiLevelType w:val="hybridMultilevel"/>
    <w:tmpl w:val="A0BA7176"/>
    <w:lvl w:ilvl="0" w:tplc="9AC055F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D14267"/>
    <w:multiLevelType w:val="hybridMultilevel"/>
    <w:tmpl w:val="4760BD32"/>
    <w:lvl w:ilvl="0" w:tplc="7004AB5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853A96"/>
    <w:multiLevelType w:val="multilevel"/>
    <w:tmpl w:val="8CC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54A0"/>
    <w:multiLevelType w:val="hybridMultilevel"/>
    <w:tmpl w:val="9D70444C"/>
    <w:lvl w:ilvl="0" w:tplc="8A045006">
      <w:start w:val="1"/>
      <w:numFmt w:val="bullet"/>
      <w:lvlText w:val="-"/>
      <w:lvlJc w:val="left"/>
      <w:pPr>
        <w:tabs>
          <w:tab w:val="num" w:pos="1146"/>
        </w:tabs>
        <w:ind w:left="1146" w:hanging="360"/>
      </w:pPr>
      <w:rPr>
        <w:rFont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B3331"/>
    <w:multiLevelType w:val="hybridMultilevel"/>
    <w:tmpl w:val="68D06C7E"/>
    <w:lvl w:ilvl="0" w:tplc="73FE38E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960FC"/>
    <w:multiLevelType w:val="hybridMultilevel"/>
    <w:tmpl w:val="F880E1B4"/>
    <w:lvl w:ilvl="0" w:tplc="26505034">
      <w:start w:val="1"/>
      <w:numFmt w:val="bullet"/>
      <w:pStyle w:val="Paragraphedeliste"/>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4074018"/>
    <w:multiLevelType w:val="hybridMultilevel"/>
    <w:tmpl w:val="2306F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1C2D66"/>
    <w:multiLevelType w:val="hybridMultilevel"/>
    <w:tmpl w:val="B2423BA0"/>
    <w:lvl w:ilvl="0" w:tplc="F626C0CE">
      <w:start w:val="1"/>
      <w:numFmt w:val="bullet"/>
      <w:lvlText w:val=""/>
      <w:lvlPicBulletId w:val="0"/>
      <w:lvlJc w:val="left"/>
      <w:pPr>
        <w:tabs>
          <w:tab w:val="num" w:pos="720"/>
        </w:tabs>
        <w:ind w:left="720" w:hanging="360"/>
      </w:pPr>
      <w:rPr>
        <w:rFonts w:ascii="Symbol" w:hAnsi="Symbol" w:hint="default"/>
      </w:rPr>
    </w:lvl>
    <w:lvl w:ilvl="1" w:tplc="5560C418" w:tentative="1">
      <w:start w:val="1"/>
      <w:numFmt w:val="bullet"/>
      <w:lvlText w:val=""/>
      <w:lvlJc w:val="left"/>
      <w:pPr>
        <w:tabs>
          <w:tab w:val="num" w:pos="1440"/>
        </w:tabs>
        <w:ind w:left="1440" w:hanging="360"/>
      </w:pPr>
      <w:rPr>
        <w:rFonts w:ascii="Symbol" w:hAnsi="Symbol" w:hint="default"/>
      </w:rPr>
    </w:lvl>
    <w:lvl w:ilvl="2" w:tplc="7C38F256" w:tentative="1">
      <w:start w:val="1"/>
      <w:numFmt w:val="bullet"/>
      <w:lvlText w:val=""/>
      <w:lvlJc w:val="left"/>
      <w:pPr>
        <w:tabs>
          <w:tab w:val="num" w:pos="2160"/>
        </w:tabs>
        <w:ind w:left="2160" w:hanging="360"/>
      </w:pPr>
      <w:rPr>
        <w:rFonts w:ascii="Symbol" w:hAnsi="Symbol" w:hint="default"/>
      </w:rPr>
    </w:lvl>
    <w:lvl w:ilvl="3" w:tplc="6FD845D2" w:tentative="1">
      <w:start w:val="1"/>
      <w:numFmt w:val="bullet"/>
      <w:lvlText w:val=""/>
      <w:lvlJc w:val="left"/>
      <w:pPr>
        <w:tabs>
          <w:tab w:val="num" w:pos="2880"/>
        </w:tabs>
        <w:ind w:left="2880" w:hanging="360"/>
      </w:pPr>
      <w:rPr>
        <w:rFonts w:ascii="Symbol" w:hAnsi="Symbol" w:hint="default"/>
      </w:rPr>
    </w:lvl>
    <w:lvl w:ilvl="4" w:tplc="DBC49C84" w:tentative="1">
      <w:start w:val="1"/>
      <w:numFmt w:val="bullet"/>
      <w:lvlText w:val=""/>
      <w:lvlJc w:val="left"/>
      <w:pPr>
        <w:tabs>
          <w:tab w:val="num" w:pos="3600"/>
        </w:tabs>
        <w:ind w:left="3600" w:hanging="360"/>
      </w:pPr>
      <w:rPr>
        <w:rFonts w:ascii="Symbol" w:hAnsi="Symbol" w:hint="default"/>
      </w:rPr>
    </w:lvl>
    <w:lvl w:ilvl="5" w:tplc="E12E3668" w:tentative="1">
      <w:start w:val="1"/>
      <w:numFmt w:val="bullet"/>
      <w:lvlText w:val=""/>
      <w:lvlJc w:val="left"/>
      <w:pPr>
        <w:tabs>
          <w:tab w:val="num" w:pos="4320"/>
        </w:tabs>
        <w:ind w:left="4320" w:hanging="360"/>
      </w:pPr>
      <w:rPr>
        <w:rFonts w:ascii="Symbol" w:hAnsi="Symbol" w:hint="default"/>
      </w:rPr>
    </w:lvl>
    <w:lvl w:ilvl="6" w:tplc="BF2EDB3A" w:tentative="1">
      <w:start w:val="1"/>
      <w:numFmt w:val="bullet"/>
      <w:lvlText w:val=""/>
      <w:lvlJc w:val="left"/>
      <w:pPr>
        <w:tabs>
          <w:tab w:val="num" w:pos="5040"/>
        </w:tabs>
        <w:ind w:left="5040" w:hanging="360"/>
      </w:pPr>
      <w:rPr>
        <w:rFonts w:ascii="Symbol" w:hAnsi="Symbol" w:hint="default"/>
      </w:rPr>
    </w:lvl>
    <w:lvl w:ilvl="7" w:tplc="CA222CF8" w:tentative="1">
      <w:start w:val="1"/>
      <w:numFmt w:val="bullet"/>
      <w:lvlText w:val=""/>
      <w:lvlJc w:val="left"/>
      <w:pPr>
        <w:tabs>
          <w:tab w:val="num" w:pos="5760"/>
        </w:tabs>
        <w:ind w:left="5760" w:hanging="360"/>
      </w:pPr>
      <w:rPr>
        <w:rFonts w:ascii="Symbol" w:hAnsi="Symbol" w:hint="default"/>
      </w:rPr>
    </w:lvl>
    <w:lvl w:ilvl="8" w:tplc="727A0AD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760031"/>
    <w:multiLevelType w:val="hybridMultilevel"/>
    <w:tmpl w:val="E800C46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FC07BDC"/>
    <w:multiLevelType w:val="multilevel"/>
    <w:tmpl w:val="0ACC9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42656"/>
    <w:multiLevelType w:val="hybridMultilevel"/>
    <w:tmpl w:val="DD327D7A"/>
    <w:lvl w:ilvl="0" w:tplc="1A441EA2">
      <w:start w:val="1"/>
      <w:numFmt w:val="bullet"/>
      <w:lvlText w:val=""/>
      <w:lvlPicBulletId w:val="0"/>
      <w:lvlJc w:val="left"/>
      <w:pPr>
        <w:tabs>
          <w:tab w:val="num" w:pos="720"/>
        </w:tabs>
        <w:ind w:left="720" w:hanging="360"/>
      </w:pPr>
      <w:rPr>
        <w:rFonts w:ascii="Symbol" w:hAnsi="Symbol" w:hint="default"/>
      </w:rPr>
    </w:lvl>
    <w:lvl w:ilvl="1" w:tplc="8A6CB97E" w:tentative="1">
      <w:start w:val="1"/>
      <w:numFmt w:val="bullet"/>
      <w:lvlText w:val=""/>
      <w:lvlJc w:val="left"/>
      <w:pPr>
        <w:tabs>
          <w:tab w:val="num" w:pos="1440"/>
        </w:tabs>
        <w:ind w:left="1440" w:hanging="360"/>
      </w:pPr>
      <w:rPr>
        <w:rFonts w:ascii="Symbol" w:hAnsi="Symbol" w:hint="default"/>
      </w:rPr>
    </w:lvl>
    <w:lvl w:ilvl="2" w:tplc="86E21236" w:tentative="1">
      <w:start w:val="1"/>
      <w:numFmt w:val="bullet"/>
      <w:lvlText w:val=""/>
      <w:lvlJc w:val="left"/>
      <w:pPr>
        <w:tabs>
          <w:tab w:val="num" w:pos="2160"/>
        </w:tabs>
        <w:ind w:left="2160" w:hanging="360"/>
      </w:pPr>
      <w:rPr>
        <w:rFonts w:ascii="Symbol" w:hAnsi="Symbol" w:hint="default"/>
      </w:rPr>
    </w:lvl>
    <w:lvl w:ilvl="3" w:tplc="281AB79C" w:tentative="1">
      <w:start w:val="1"/>
      <w:numFmt w:val="bullet"/>
      <w:lvlText w:val=""/>
      <w:lvlJc w:val="left"/>
      <w:pPr>
        <w:tabs>
          <w:tab w:val="num" w:pos="2880"/>
        </w:tabs>
        <w:ind w:left="2880" w:hanging="360"/>
      </w:pPr>
      <w:rPr>
        <w:rFonts w:ascii="Symbol" w:hAnsi="Symbol" w:hint="default"/>
      </w:rPr>
    </w:lvl>
    <w:lvl w:ilvl="4" w:tplc="567C494C" w:tentative="1">
      <w:start w:val="1"/>
      <w:numFmt w:val="bullet"/>
      <w:lvlText w:val=""/>
      <w:lvlJc w:val="left"/>
      <w:pPr>
        <w:tabs>
          <w:tab w:val="num" w:pos="3600"/>
        </w:tabs>
        <w:ind w:left="3600" w:hanging="360"/>
      </w:pPr>
      <w:rPr>
        <w:rFonts w:ascii="Symbol" w:hAnsi="Symbol" w:hint="default"/>
      </w:rPr>
    </w:lvl>
    <w:lvl w:ilvl="5" w:tplc="3508EA4E" w:tentative="1">
      <w:start w:val="1"/>
      <w:numFmt w:val="bullet"/>
      <w:lvlText w:val=""/>
      <w:lvlJc w:val="left"/>
      <w:pPr>
        <w:tabs>
          <w:tab w:val="num" w:pos="4320"/>
        </w:tabs>
        <w:ind w:left="4320" w:hanging="360"/>
      </w:pPr>
      <w:rPr>
        <w:rFonts w:ascii="Symbol" w:hAnsi="Symbol" w:hint="default"/>
      </w:rPr>
    </w:lvl>
    <w:lvl w:ilvl="6" w:tplc="34FC09B8" w:tentative="1">
      <w:start w:val="1"/>
      <w:numFmt w:val="bullet"/>
      <w:lvlText w:val=""/>
      <w:lvlJc w:val="left"/>
      <w:pPr>
        <w:tabs>
          <w:tab w:val="num" w:pos="5040"/>
        </w:tabs>
        <w:ind w:left="5040" w:hanging="360"/>
      </w:pPr>
      <w:rPr>
        <w:rFonts w:ascii="Symbol" w:hAnsi="Symbol" w:hint="default"/>
      </w:rPr>
    </w:lvl>
    <w:lvl w:ilvl="7" w:tplc="134A52E6" w:tentative="1">
      <w:start w:val="1"/>
      <w:numFmt w:val="bullet"/>
      <w:lvlText w:val=""/>
      <w:lvlJc w:val="left"/>
      <w:pPr>
        <w:tabs>
          <w:tab w:val="num" w:pos="5760"/>
        </w:tabs>
        <w:ind w:left="5760" w:hanging="360"/>
      </w:pPr>
      <w:rPr>
        <w:rFonts w:ascii="Symbol" w:hAnsi="Symbol" w:hint="default"/>
      </w:rPr>
    </w:lvl>
    <w:lvl w:ilvl="8" w:tplc="D498883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680538"/>
    <w:multiLevelType w:val="multilevel"/>
    <w:tmpl w:val="CAE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8492E"/>
    <w:multiLevelType w:val="multilevel"/>
    <w:tmpl w:val="423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F5D02"/>
    <w:multiLevelType w:val="hybridMultilevel"/>
    <w:tmpl w:val="C6541602"/>
    <w:lvl w:ilvl="0" w:tplc="E558060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60531B6A"/>
    <w:multiLevelType w:val="multilevel"/>
    <w:tmpl w:val="D10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77A79"/>
    <w:multiLevelType w:val="hybridMultilevel"/>
    <w:tmpl w:val="584A62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BF6A42"/>
    <w:multiLevelType w:val="hybridMultilevel"/>
    <w:tmpl w:val="C1069064"/>
    <w:lvl w:ilvl="0" w:tplc="812A85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DE2FC5"/>
    <w:multiLevelType w:val="hybridMultilevel"/>
    <w:tmpl w:val="6F4E5F66"/>
    <w:lvl w:ilvl="0" w:tplc="9AC055F0">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DE74A6E"/>
    <w:multiLevelType w:val="multilevel"/>
    <w:tmpl w:val="4A0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7"/>
  </w:num>
  <w:num w:numId="4">
    <w:abstractNumId w:val="10"/>
  </w:num>
  <w:num w:numId="5">
    <w:abstractNumId w:val="11"/>
  </w:num>
  <w:num w:numId="6">
    <w:abstractNumId w:val="14"/>
  </w:num>
  <w:num w:numId="7">
    <w:abstractNumId w:val="15"/>
  </w:num>
  <w:num w:numId="8">
    <w:abstractNumId w:val="3"/>
  </w:num>
  <w:num w:numId="9">
    <w:abstractNumId w:val="18"/>
  </w:num>
  <w:num w:numId="10">
    <w:abstractNumId w:val="16"/>
  </w:num>
  <w:num w:numId="11">
    <w:abstractNumId w:val="13"/>
  </w:num>
  <w:num w:numId="12">
    <w:abstractNumId w:val="22"/>
  </w:num>
  <w:num w:numId="13">
    <w:abstractNumId w:val="6"/>
  </w:num>
  <w:num w:numId="14">
    <w:abstractNumId w:val="19"/>
  </w:num>
  <w:num w:numId="15">
    <w:abstractNumId w:val="21"/>
  </w:num>
  <w:num w:numId="16">
    <w:abstractNumId w:val="4"/>
  </w:num>
  <w:num w:numId="17">
    <w:abstractNumId w:val="0"/>
  </w:num>
  <w:num w:numId="18">
    <w:abstractNumId w:val="8"/>
  </w:num>
  <w:num w:numId="19">
    <w:abstractNumId w:val="12"/>
  </w:num>
  <w:num w:numId="20">
    <w:abstractNumId w:val="9"/>
  </w:num>
  <w:num w:numId="21">
    <w:abstractNumId w:val="5"/>
  </w:num>
  <w:num w:numId="22">
    <w:abstractNumId w:val="2"/>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BCF"/>
    <w:rsid w:val="00020970"/>
    <w:rsid w:val="000215A8"/>
    <w:rsid w:val="00027658"/>
    <w:rsid w:val="00037CC7"/>
    <w:rsid w:val="00062A34"/>
    <w:rsid w:val="000636D1"/>
    <w:rsid w:val="00064CE6"/>
    <w:rsid w:val="000657CA"/>
    <w:rsid w:val="00067DCB"/>
    <w:rsid w:val="00077AED"/>
    <w:rsid w:val="000804E8"/>
    <w:rsid w:val="00084B14"/>
    <w:rsid w:val="00097D55"/>
    <w:rsid w:val="000A5ABD"/>
    <w:rsid w:val="000A655C"/>
    <w:rsid w:val="000D66BE"/>
    <w:rsid w:val="000E1CCC"/>
    <w:rsid w:val="000E771C"/>
    <w:rsid w:val="000F187D"/>
    <w:rsid w:val="00105F69"/>
    <w:rsid w:val="00114169"/>
    <w:rsid w:val="00135073"/>
    <w:rsid w:val="00137B1F"/>
    <w:rsid w:val="001447C9"/>
    <w:rsid w:val="001458DA"/>
    <w:rsid w:val="00157994"/>
    <w:rsid w:val="00160722"/>
    <w:rsid w:val="0017444E"/>
    <w:rsid w:val="00175FB5"/>
    <w:rsid w:val="001845BA"/>
    <w:rsid w:val="0019441E"/>
    <w:rsid w:val="001979A7"/>
    <w:rsid w:val="001A3181"/>
    <w:rsid w:val="001A4527"/>
    <w:rsid w:val="001A558A"/>
    <w:rsid w:val="001B2406"/>
    <w:rsid w:val="001B3261"/>
    <w:rsid w:val="001C13B5"/>
    <w:rsid w:val="001C689F"/>
    <w:rsid w:val="001C7804"/>
    <w:rsid w:val="001D6F22"/>
    <w:rsid w:val="001E6555"/>
    <w:rsid w:val="001F0A75"/>
    <w:rsid w:val="001F0F47"/>
    <w:rsid w:val="00207883"/>
    <w:rsid w:val="00212CED"/>
    <w:rsid w:val="0022570D"/>
    <w:rsid w:val="00225CAD"/>
    <w:rsid w:val="002310F2"/>
    <w:rsid w:val="0023377F"/>
    <w:rsid w:val="00235E3D"/>
    <w:rsid w:val="00250F2E"/>
    <w:rsid w:val="00257D71"/>
    <w:rsid w:val="00264202"/>
    <w:rsid w:val="00265B6D"/>
    <w:rsid w:val="0026692F"/>
    <w:rsid w:val="0027749C"/>
    <w:rsid w:val="00284822"/>
    <w:rsid w:val="00294F71"/>
    <w:rsid w:val="00295548"/>
    <w:rsid w:val="002A5C42"/>
    <w:rsid w:val="002B08CD"/>
    <w:rsid w:val="002B2EEE"/>
    <w:rsid w:val="002B6193"/>
    <w:rsid w:val="002E1861"/>
    <w:rsid w:val="002E1D25"/>
    <w:rsid w:val="002F230F"/>
    <w:rsid w:val="003047EB"/>
    <w:rsid w:val="003071F0"/>
    <w:rsid w:val="003111F6"/>
    <w:rsid w:val="00311477"/>
    <w:rsid w:val="003145A1"/>
    <w:rsid w:val="00315244"/>
    <w:rsid w:val="003231B3"/>
    <w:rsid w:val="003256AC"/>
    <w:rsid w:val="00331915"/>
    <w:rsid w:val="00333CE1"/>
    <w:rsid w:val="00333E10"/>
    <w:rsid w:val="003362DE"/>
    <w:rsid w:val="003677DD"/>
    <w:rsid w:val="00370D11"/>
    <w:rsid w:val="0037303E"/>
    <w:rsid w:val="003751EE"/>
    <w:rsid w:val="003830C7"/>
    <w:rsid w:val="003930E3"/>
    <w:rsid w:val="00393EB0"/>
    <w:rsid w:val="00397DFD"/>
    <w:rsid w:val="003A5080"/>
    <w:rsid w:val="003A5C56"/>
    <w:rsid w:val="003B16D6"/>
    <w:rsid w:val="003B2478"/>
    <w:rsid w:val="003C2A52"/>
    <w:rsid w:val="003D6F83"/>
    <w:rsid w:val="003D7BC8"/>
    <w:rsid w:val="003F1306"/>
    <w:rsid w:val="003F422B"/>
    <w:rsid w:val="00423EBB"/>
    <w:rsid w:val="004312E6"/>
    <w:rsid w:val="00450077"/>
    <w:rsid w:val="004538AA"/>
    <w:rsid w:val="004539B2"/>
    <w:rsid w:val="00453DA0"/>
    <w:rsid w:val="00457391"/>
    <w:rsid w:val="00461BE4"/>
    <w:rsid w:val="00461C76"/>
    <w:rsid w:val="00461FA0"/>
    <w:rsid w:val="0046424D"/>
    <w:rsid w:val="004749D4"/>
    <w:rsid w:val="0048787F"/>
    <w:rsid w:val="00494FE9"/>
    <w:rsid w:val="004951A9"/>
    <w:rsid w:val="00497EE8"/>
    <w:rsid w:val="004A4BFE"/>
    <w:rsid w:val="004D20E8"/>
    <w:rsid w:val="004D28EA"/>
    <w:rsid w:val="004D7BAC"/>
    <w:rsid w:val="004E021E"/>
    <w:rsid w:val="004E02AA"/>
    <w:rsid w:val="004F0130"/>
    <w:rsid w:val="004F1B9E"/>
    <w:rsid w:val="004F72EE"/>
    <w:rsid w:val="00505FE4"/>
    <w:rsid w:val="005120B3"/>
    <w:rsid w:val="00512E9A"/>
    <w:rsid w:val="00532DBA"/>
    <w:rsid w:val="00536C57"/>
    <w:rsid w:val="0053799B"/>
    <w:rsid w:val="00547555"/>
    <w:rsid w:val="0055052C"/>
    <w:rsid w:val="0055516B"/>
    <w:rsid w:val="00565764"/>
    <w:rsid w:val="0056642F"/>
    <w:rsid w:val="00567484"/>
    <w:rsid w:val="00570B62"/>
    <w:rsid w:val="00570EDF"/>
    <w:rsid w:val="0058079B"/>
    <w:rsid w:val="005814A6"/>
    <w:rsid w:val="0059086F"/>
    <w:rsid w:val="005969E0"/>
    <w:rsid w:val="005A7076"/>
    <w:rsid w:val="005B7706"/>
    <w:rsid w:val="005D3616"/>
    <w:rsid w:val="005E2451"/>
    <w:rsid w:val="005F69FE"/>
    <w:rsid w:val="006012B9"/>
    <w:rsid w:val="00602943"/>
    <w:rsid w:val="00607DE7"/>
    <w:rsid w:val="0061091A"/>
    <w:rsid w:val="00613A32"/>
    <w:rsid w:val="00633984"/>
    <w:rsid w:val="006347B3"/>
    <w:rsid w:val="00640714"/>
    <w:rsid w:val="006505DC"/>
    <w:rsid w:val="00654446"/>
    <w:rsid w:val="00657F05"/>
    <w:rsid w:val="00665552"/>
    <w:rsid w:val="00676186"/>
    <w:rsid w:val="00677189"/>
    <w:rsid w:val="00690FB4"/>
    <w:rsid w:val="00693CD2"/>
    <w:rsid w:val="00694ABA"/>
    <w:rsid w:val="006A43A4"/>
    <w:rsid w:val="006B05A8"/>
    <w:rsid w:val="006C717A"/>
    <w:rsid w:val="006D047F"/>
    <w:rsid w:val="006E5FE8"/>
    <w:rsid w:val="006F6991"/>
    <w:rsid w:val="007009DC"/>
    <w:rsid w:val="00702E9F"/>
    <w:rsid w:val="00702F4E"/>
    <w:rsid w:val="00707AD8"/>
    <w:rsid w:val="00713645"/>
    <w:rsid w:val="00715170"/>
    <w:rsid w:val="00715D04"/>
    <w:rsid w:val="00730147"/>
    <w:rsid w:val="00732272"/>
    <w:rsid w:val="00733FA5"/>
    <w:rsid w:val="00736823"/>
    <w:rsid w:val="00737CE6"/>
    <w:rsid w:val="007408A6"/>
    <w:rsid w:val="007415B9"/>
    <w:rsid w:val="00751137"/>
    <w:rsid w:val="0075344F"/>
    <w:rsid w:val="00756798"/>
    <w:rsid w:val="00760333"/>
    <w:rsid w:val="00761640"/>
    <w:rsid w:val="00765C6F"/>
    <w:rsid w:val="0078537A"/>
    <w:rsid w:val="00795C5E"/>
    <w:rsid w:val="0079781F"/>
    <w:rsid w:val="007A2D3E"/>
    <w:rsid w:val="007B7016"/>
    <w:rsid w:val="007B785E"/>
    <w:rsid w:val="007D1FB9"/>
    <w:rsid w:val="007D2B5E"/>
    <w:rsid w:val="007D7B78"/>
    <w:rsid w:val="007E7607"/>
    <w:rsid w:val="007F76EE"/>
    <w:rsid w:val="00800DF3"/>
    <w:rsid w:val="00801399"/>
    <w:rsid w:val="0082017B"/>
    <w:rsid w:val="00834B45"/>
    <w:rsid w:val="008353C9"/>
    <w:rsid w:val="00844A17"/>
    <w:rsid w:val="0084782A"/>
    <w:rsid w:val="00853AD4"/>
    <w:rsid w:val="008564CC"/>
    <w:rsid w:val="008672C5"/>
    <w:rsid w:val="008711E1"/>
    <w:rsid w:val="0088019F"/>
    <w:rsid w:val="0088298B"/>
    <w:rsid w:val="00882AFA"/>
    <w:rsid w:val="00887C93"/>
    <w:rsid w:val="0089027E"/>
    <w:rsid w:val="00892178"/>
    <w:rsid w:val="00895E80"/>
    <w:rsid w:val="0089604D"/>
    <w:rsid w:val="008A0277"/>
    <w:rsid w:val="008A2B38"/>
    <w:rsid w:val="008A47D7"/>
    <w:rsid w:val="008A7E1F"/>
    <w:rsid w:val="008B3587"/>
    <w:rsid w:val="008B5BB8"/>
    <w:rsid w:val="008B7004"/>
    <w:rsid w:val="008C0C1B"/>
    <w:rsid w:val="008C4387"/>
    <w:rsid w:val="008E11CD"/>
    <w:rsid w:val="008E1979"/>
    <w:rsid w:val="008E1B87"/>
    <w:rsid w:val="008F3061"/>
    <w:rsid w:val="008F471E"/>
    <w:rsid w:val="00901377"/>
    <w:rsid w:val="00914AB0"/>
    <w:rsid w:val="009279E3"/>
    <w:rsid w:val="009320FC"/>
    <w:rsid w:val="00934C3A"/>
    <w:rsid w:val="00943950"/>
    <w:rsid w:val="00951D1E"/>
    <w:rsid w:val="00962793"/>
    <w:rsid w:val="00963240"/>
    <w:rsid w:val="009641F6"/>
    <w:rsid w:val="00986189"/>
    <w:rsid w:val="00992B03"/>
    <w:rsid w:val="009A05C1"/>
    <w:rsid w:val="009A18A6"/>
    <w:rsid w:val="009A3FA4"/>
    <w:rsid w:val="009B1D42"/>
    <w:rsid w:val="009B21BB"/>
    <w:rsid w:val="009B7A39"/>
    <w:rsid w:val="009C10B0"/>
    <w:rsid w:val="009E0D48"/>
    <w:rsid w:val="009E1EE5"/>
    <w:rsid w:val="009E4BEE"/>
    <w:rsid w:val="009E61B4"/>
    <w:rsid w:val="009F1192"/>
    <w:rsid w:val="009F6E35"/>
    <w:rsid w:val="009F7FB8"/>
    <w:rsid w:val="00A13239"/>
    <w:rsid w:val="00A13541"/>
    <w:rsid w:val="00A161EE"/>
    <w:rsid w:val="00A165BB"/>
    <w:rsid w:val="00A16FA6"/>
    <w:rsid w:val="00A21555"/>
    <w:rsid w:val="00A31E07"/>
    <w:rsid w:val="00A46740"/>
    <w:rsid w:val="00A6324D"/>
    <w:rsid w:val="00A64027"/>
    <w:rsid w:val="00A65120"/>
    <w:rsid w:val="00A7116E"/>
    <w:rsid w:val="00A764F6"/>
    <w:rsid w:val="00A76FDB"/>
    <w:rsid w:val="00A80CD7"/>
    <w:rsid w:val="00A84C0D"/>
    <w:rsid w:val="00A97FC4"/>
    <w:rsid w:val="00AC631A"/>
    <w:rsid w:val="00AC6C8C"/>
    <w:rsid w:val="00AD1641"/>
    <w:rsid w:val="00AE01AE"/>
    <w:rsid w:val="00AE2858"/>
    <w:rsid w:val="00AE2F5B"/>
    <w:rsid w:val="00AE341A"/>
    <w:rsid w:val="00AE38B7"/>
    <w:rsid w:val="00AF62CE"/>
    <w:rsid w:val="00B06EC3"/>
    <w:rsid w:val="00B078FC"/>
    <w:rsid w:val="00B100D7"/>
    <w:rsid w:val="00B16C0B"/>
    <w:rsid w:val="00B16F3E"/>
    <w:rsid w:val="00B23EA9"/>
    <w:rsid w:val="00B25466"/>
    <w:rsid w:val="00B25CAE"/>
    <w:rsid w:val="00B50A8A"/>
    <w:rsid w:val="00B53FF6"/>
    <w:rsid w:val="00B55459"/>
    <w:rsid w:val="00B56B37"/>
    <w:rsid w:val="00B649F2"/>
    <w:rsid w:val="00B758C0"/>
    <w:rsid w:val="00B85765"/>
    <w:rsid w:val="00B9168F"/>
    <w:rsid w:val="00B957D2"/>
    <w:rsid w:val="00BB342F"/>
    <w:rsid w:val="00BB6B37"/>
    <w:rsid w:val="00BD47CE"/>
    <w:rsid w:val="00BE0F6B"/>
    <w:rsid w:val="00BE13E1"/>
    <w:rsid w:val="00BF2BCF"/>
    <w:rsid w:val="00C02DBA"/>
    <w:rsid w:val="00C06237"/>
    <w:rsid w:val="00C105DF"/>
    <w:rsid w:val="00C1360F"/>
    <w:rsid w:val="00C14FE0"/>
    <w:rsid w:val="00C1798C"/>
    <w:rsid w:val="00C20EC7"/>
    <w:rsid w:val="00C43651"/>
    <w:rsid w:val="00C5006E"/>
    <w:rsid w:val="00C52996"/>
    <w:rsid w:val="00C577F3"/>
    <w:rsid w:val="00C65762"/>
    <w:rsid w:val="00C818A1"/>
    <w:rsid w:val="00C92354"/>
    <w:rsid w:val="00CA1C05"/>
    <w:rsid w:val="00CA34B1"/>
    <w:rsid w:val="00CA66CC"/>
    <w:rsid w:val="00CC0134"/>
    <w:rsid w:val="00CE2C48"/>
    <w:rsid w:val="00CF6384"/>
    <w:rsid w:val="00D020FF"/>
    <w:rsid w:val="00D040A9"/>
    <w:rsid w:val="00D10B9B"/>
    <w:rsid w:val="00D23C98"/>
    <w:rsid w:val="00D35AA7"/>
    <w:rsid w:val="00D36634"/>
    <w:rsid w:val="00D41607"/>
    <w:rsid w:val="00D41C68"/>
    <w:rsid w:val="00D46176"/>
    <w:rsid w:val="00D54682"/>
    <w:rsid w:val="00D55952"/>
    <w:rsid w:val="00D57BFE"/>
    <w:rsid w:val="00D67274"/>
    <w:rsid w:val="00D80A06"/>
    <w:rsid w:val="00D83A09"/>
    <w:rsid w:val="00D86BE0"/>
    <w:rsid w:val="00D87A3C"/>
    <w:rsid w:val="00DB5B0B"/>
    <w:rsid w:val="00DB6828"/>
    <w:rsid w:val="00DD2CAF"/>
    <w:rsid w:val="00DD4760"/>
    <w:rsid w:val="00DD7AFA"/>
    <w:rsid w:val="00DE74ED"/>
    <w:rsid w:val="00DF1DCB"/>
    <w:rsid w:val="00DF36DF"/>
    <w:rsid w:val="00DF6BF6"/>
    <w:rsid w:val="00E0082B"/>
    <w:rsid w:val="00E06C8C"/>
    <w:rsid w:val="00E15F51"/>
    <w:rsid w:val="00E237E8"/>
    <w:rsid w:val="00E25B26"/>
    <w:rsid w:val="00E3199C"/>
    <w:rsid w:val="00E31B68"/>
    <w:rsid w:val="00E417BB"/>
    <w:rsid w:val="00E42E70"/>
    <w:rsid w:val="00E641DB"/>
    <w:rsid w:val="00E64B74"/>
    <w:rsid w:val="00E706D9"/>
    <w:rsid w:val="00E71D25"/>
    <w:rsid w:val="00E73EAD"/>
    <w:rsid w:val="00E82CD6"/>
    <w:rsid w:val="00E837B9"/>
    <w:rsid w:val="00E904E9"/>
    <w:rsid w:val="00EA55FC"/>
    <w:rsid w:val="00EB6E51"/>
    <w:rsid w:val="00EE1546"/>
    <w:rsid w:val="00EE5BD3"/>
    <w:rsid w:val="00EF4DF3"/>
    <w:rsid w:val="00F01774"/>
    <w:rsid w:val="00F203F8"/>
    <w:rsid w:val="00F306F7"/>
    <w:rsid w:val="00F3314F"/>
    <w:rsid w:val="00F3544E"/>
    <w:rsid w:val="00F377E8"/>
    <w:rsid w:val="00F4715C"/>
    <w:rsid w:val="00F67838"/>
    <w:rsid w:val="00F83C5C"/>
    <w:rsid w:val="00F86FE9"/>
    <w:rsid w:val="00F935D5"/>
    <w:rsid w:val="00F93D6A"/>
    <w:rsid w:val="00F9581F"/>
    <w:rsid w:val="00FA3B57"/>
    <w:rsid w:val="00FA4FDA"/>
    <w:rsid w:val="00FA7635"/>
    <w:rsid w:val="00FB0D68"/>
    <w:rsid w:val="00FB6EC5"/>
    <w:rsid w:val="00FC058C"/>
    <w:rsid w:val="00FC1DCA"/>
    <w:rsid w:val="00FD4383"/>
    <w:rsid w:val="00FD543D"/>
    <w:rsid w:val="00FF05B1"/>
    <w:rsid w:val="00FF4589"/>
    <w:rsid w:val="00FF5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shapelayout>
  </w:shapeDefaults>
  <w:decimalSymbol w:val=","/>
  <w:listSeparator w:val=";"/>
  <w14:docId w14:val="4D97A3C7"/>
  <w15:docId w15:val="{DCCDB016-D814-42A5-808D-8E2D308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0C1B"/>
    <w:pPr>
      <w:spacing w:before="60" w:after="60"/>
      <w:jc w:val="both"/>
    </w:pPr>
    <w:rPr>
      <w:rFonts w:ascii="Verdana" w:hAnsi="Verdana"/>
      <w:szCs w:val="24"/>
    </w:rPr>
  </w:style>
  <w:style w:type="paragraph" w:styleId="Titre1">
    <w:name w:val="heading 1"/>
    <w:basedOn w:val="Normal"/>
    <w:next w:val="Normal"/>
    <w:link w:val="Titre1Car"/>
    <w:qFormat/>
    <w:rsid w:val="00FA7635"/>
    <w:pPr>
      <w:keepNext/>
      <w:pBdr>
        <w:bottom w:val="single" w:sz="8" w:space="4" w:color="auto"/>
      </w:pBdr>
      <w:spacing w:before="240" w:after="0"/>
      <w:outlineLvl w:val="0"/>
    </w:pPr>
    <w:rPr>
      <w:rFonts w:cs="Arial"/>
      <w:b/>
      <w:bCs/>
      <w:caps/>
      <w:color w:val="A2BD30"/>
    </w:rPr>
  </w:style>
  <w:style w:type="paragraph" w:styleId="Titre2">
    <w:name w:val="heading 2"/>
    <w:basedOn w:val="Normal"/>
    <w:next w:val="Normal"/>
    <w:link w:val="Titre2Car"/>
    <w:semiHidden/>
    <w:unhideWhenUsed/>
    <w:qFormat/>
    <w:rsid w:val="00265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05DC"/>
    <w:pPr>
      <w:tabs>
        <w:tab w:val="center" w:pos="4536"/>
        <w:tab w:val="right" w:pos="9072"/>
      </w:tabs>
    </w:pPr>
  </w:style>
  <w:style w:type="paragraph" w:styleId="Pieddepage">
    <w:name w:val="footer"/>
    <w:basedOn w:val="Normal"/>
    <w:link w:val="PieddepageCar"/>
    <w:uiPriority w:val="99"/>
    <w:qFormat/>
    <w:rsid w:val="005E2451"/>
    <w:pPr>
      <w:tabs>
        <w:tab w:val="center" w:pos="4536"/>
        <w:tab w:val="right" w:pos="9072"/>
      </w:tabs>
      <w:spacing w:before="0" w:after="0"/>
      <w:jc w:val="left"/>
    </w:pPr>
    <w:rPr>
      <w:color w:val="493422"/>
      <w:sz w:val="16"/>
    </w:rPr>
  </w:style>
  <w:style w:type="table" w:styleId="Grilledutableau">
    <w:name w:val="Table Grid"/>
    <w:basedOn w:val="TableauNormal"/>
    <w:rsid w:val="008F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F5414"/>
  </w:style>
  <w:style w:type="paragraph" w:styleId="Textedebulles">
    <w:name w:val="Balloon Text"/>
    <w:basedOn w:val="Normal"/>
    <w:link w:val="TextedebullesCar"/>
    <w:rsid w:val="0055516B"/>
    <w:rPr>
      <w:rFonts w:ascii="Tahoma" w:hAnsi="Tahoma" w:cs="Tahoma"/>
      <w:sz w:val="16"/>
      <w:szCs w:val="16"/>
    </w:rPr>
  </w:style>
  <w:style w:type="character" w:customStyle="1" w:styleId="TextedebullesCar">
    <w:name w:val="Texte de bulles Car"/>
    <w:basedOn w:val="Policepardfaut"/>
    <w:link w:val="Textedebulles"/>
    <w:rsid w:val="0055516B"/>
    <w:rPr>
      <w:rFonts w:ascii="Tahoma" w:hAnsi="Tahoma" w:cs="Tahoma"/>
      <w:sz w:val="16"/>
      <w:szCs w:val="16"/>
    </w:rPr>
  </w:style>
  <w:style w:type="character" w:styleId="Lienhypertexte">
    <w:name w:val="Hyperlink"/>
    <w:basedOn w:val="Policepardfaut"/>
    <w:qFormat/>
    <w:rsid w:val="00607DE7"/>
    <w:rPr>
      <w:color w:val="A2BD30"/>
      <w:u w:val="single"/>
    </w:rPr>
  </w:style>
  <w:style w:type="character" w:styleId="Lienhypertextesuivivisit">
    <w:name w:val="FollowedHyperlink"/>
    <w:basedOn w:val="Policepardfaut"/>
    <w:rsid w:val="006B05A8"/>
    <w:rPr>
      <w:color w:val="800080"/>
      <w:u w:val="single"/>
    </w:rPr>
  </w:style>
  <w:style w:type="character" w:styleId="Textedelespacerserv">
    <w:name w:val="Placeholder Text"/>
    <w:basedOn w:val="Policepardfaut"/>
    <w:uiPriority w:val="99"/>
    <w:semiHidden/>
    <w:rsid w:val="00315244"/>
    <w:rPr>
      <w:color w:val="808080"/>
    </w:rPr>
  </w:style>
  <w:style w:type="paragraph" w:styleId="Titre">
    <w:name w:val="Title"/>
    <w:basedOn w:val="Normal"/>
    <w:next w:val="Normal"/>
    <w:link w:val="TitreCar"/>
    <w:qFormat/>
    <w:rsid w:val="00265B6D"/>
    <w:pPr>
      <w:spacing w:before="0" w:after="0"/>
      <w:contextualSpacing/>
      <w:jc w:val="right"/>
    </w:pPr>
    <w:rPr>
      <w:rFonts w:eastAsiaTheme="majorEastAsia" w:cstheme="majorBidi"/>
      <w:b/>
      <w:color w:val="DC931A"/>
      <w:spacing w:val="5"/>
      <w:kern w:val="28"/>
      <w:sz w:val="36"/>
      <w:szCs w:val="52"/>
    </w:rPr>
  </w:style>
  <w:style w:type="character" w:customStyle="1" w:styleId="TitreCar">
    <w:name w:val="Titre Car"/>
    <w:basedOn w:val="Policepardfaut"/>
    <w:link w:val="Titre"/>
    <w:rsid w:val="00265B6D"/>
    <w:rPr>
      <w:rFonts w:ascii="Verdana" w:eastAsiaTheme="majorEastAsia" w:hAnsi="Verdana" w:cstheme="majorBidi"/>
      <w:b/>
      <w:color w:val="DC931A"/>
      <w:spacing w:val="5"/>
      <w:kern w:val="28"/>
      <w:sz w:val="36"/>
      <w:szCs w:val="52"/>
    </w:rPr>
  </w:style>
  <w:style w:type="character" w:styleId="Accentuation">
    <w:name w:val="Emphasis"/>
    <w:basedOn w:val="Policepardfaut"/>
    <w:uiPriority w:val="20"/>
    <w:rsid w:val="008C0C1B"/>
    <w:rPr>
      <w:rFonts w:ascii="Verdana" w:hAnsi="Verdana"/>
      <w:i/>
      <w:iCs/>
      <w:color w:val="493422"/>
      <w:spacing w:val="120"/>
      <w:sz w:val="18"/>
    </w:rPr>
  </w:style>
  <w:style w:type="paragraph" w:styleId="Sous-titre">
    <w:name w:val="Subtitle"/>
    <w:basedOn w:val="Normal"/>
    <w:next w:val="Normal"/>
    <w:link w:val="Sous-titreCar"/>
    <w:autoRedefine/>
    <w:qFormat/>
    <w:rsid w:val="00F935D5"/>
    <w:pPr>
      <w:numPr>
        <w:ilvl w:val="1"/>
      </w:numPr>
      <w:tabs>
        <w:tab w:val="right" w:pos="10773"/>
      </w:tabs>
      <w:spacing w:before="0" w:after="0"/>
      <w:jc w:val="left"/>
    </w:pPr>
    <w:rPr>
      <w:rFonts w:eastAsiaTheme="majorEastAsia" w:cstheme="majorBidi"/>
      <w:i/>
      <w:iCs/>
      <w:color w:val="493422"/>
      <w:spacing w:val="80"/>
      <w:sz w:val="18"/>
    </w:rPr>
  </w:style>
  <w:style w:type="character" w:customStyle="1" w:styleId="Sous-titreCar">
    <w:name w:val="Sous-titre Car"/>
    <w:basedOn w:val="Policepardfaut"/>
    <w:link w:val="Sous-titre"/>
    <w:rsid w:val="00F935D5"/>
    <w:rPr>
      <w:rFonts w:ascii="Verdana" w:eastAsiaTheme="majorEastAsia" w:hAnsi="Verdana" w:cstheme="majorBidi"/>
      <w:i/>
      <w:iCs/>
      <w:color w:val="493422"/>
      <w:spacing w:val="80"/>
      <w:sz w:val="18"/>
      <w:szCs w:val="24"/>
    </w:rPr>
  </w:style>
  <w:style w:type="character" w:customStyle="1" w:styleId="PieddepageCar">
    <w:name w:val="Pied de page Car"/>
    <w:basedOn w:val="Policepardfaut"/>
    <w:link w:val="Pieddepage"/>
    <w:uiPriority w:val="99"/>
    <w:rsid w:val="005E2451"/>
    <w:rPr>
      <w:rFonts w:ascii="Verdana" w:hAnsi="Verdana"/>
      <w:color w:val="493422"/>
      <w:sz w:val="16"/>
      <w:szCs w:val="24"/>
    </w:rPr>
  </w:style>
  <w:style w:type="paragraph" w:styleId="Paragraphedeliste">
    <w:name w:val="List Paragraph"/>
    <w:basedOn w:val="Normal"/>
    <w:uiPriority w:val="34"/>
    <w:qFormat/>
    <w:rsid w:val="008C0C1B"/>
    <w:pPr>
      <w:numPr>
        <w:numId w:val="2"/>
      </w:numPr>
      <w:tabs>
        <w:tab w:val="left" w:pos="284"/>
      </w:tabs>
    </w:pPr>
  </w:style>
  <w:style w:type="character" w:customStyle="1" w:styleId="Titre2Car">
    <w:name w:val="Titre 2 Car"/>
    <w:basedOn w:val="Policepardfaut"/>
    <w:link w:val="Titre2"/>
    <w:semiHidden/>
    <w:rsid w:val="00265B6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rsid w:val="00F935D5"/>
    <w:pPr>
      <w:spacing w:before="120" w:after="120"/>
    </w:pPr>
    <w:rPr>
      <w:i/>
      <w:iCs/>
    </w:rPr>
  </w:style>
  <w:style w:type="character" w:customStyle="1" w:styleId="CitationCar">
    <w:name w:val="Citation Car"/>
    <w:basedOn w:val="Policepardfaut"/>
    <w:link w:val="Citation"/>
    <w:uiPriority w:val="29"/>
    <w:rsid w:val="00F935D5"/>
    <w:rPr>
      <w:rFonts w:ascii="Verdana" w:hAnsi="Verdana"/>
      <w:i/>
      <w:iCs/>
      <w:szCs w:val="24"/>
    </w:rPr>
  </w:style>
  <w:style w:type="paragraph" w:customStyle="1" w:styleId="Motscls">
    <w:name w:val="Mots clés"/>
    <w:basedOn w:val="Normal"/>
    <w:link w:val="MotsclsCar"/>
    <w:qFormat/>
    <w:rsid w:val="00F935D5"/>
    <w:pPr>
      <w:pBdr>
        <w:top w:val="single" w:sz="8" w:space="2" w:color="493422"/>
        <w:left w:val="single" w:sz="8" w:space="4" w:color="493422"/>
        <w:bottom w:val="single" w:sz="8" w:space="2" w:color="493422"/>
        <w:right w:val="single" w:sz="8" w:space="4" w:color="493422"/>
      </w:pBdr>
      <w:jc w:val="center"/>
    </w:pPr>
    <w:rPr>
      <w:i/>
      <w:szCs w:val="18"/>
    </w:rPr>
  </w:style>
  <w:style w:type="paragraph" w:styleId="Sansinterligne">
    <w:name w:val="No Spacing"/>
    <w:uiPriority w:val="1"/>
    <w:qFormat/>
    <w:rsid w:val="00F935D5"/>
    <w:pPr>
      <w:jc w:val="both"/>
    </w:pPr>
    <w:rPr>
      <w:rFonts w:ascii="Verdana" w:hAnsi="Verdana"/>
      <w:sz w:val="16"/>
      <w:szCs w:val="24"/>
    </w:rPr>
  </w:style>
  <w:style w:type="character" w:customStyle="1" w:styleId="MotsclsCar">
    <w:name w:val="Mots clés Car"/>
    <w:basedOn w:val="Policepardfaut"/>
    <w:link w:val="Motscls"/>
    <w:rsid w:val="00F935D5"/>
    <w:rPr>
      <w:rFonts w:ascii="Verdana" w:hAnsi="Verdana"/>
      <w:i/>
      <w:szCs w:val="18"/>
    </w:rPr>
  </w:style>
  <w:style w:type="paragraph" w:customStyle="1" w:styleId="Intro">
    <w:name w:val="Intro"/>
    <w:basedOn w:val="Citation"/>
    <w:link w:val="IntroCar"/>
    <w:qFormat/>
    <w:rsid w:val="00654446"/>
  </w:style>
  <w:style w:type="character" w:customStyle="1" w:styleId="IntroCar">
    <w:name w:val="Intro Car"/>
    <w:basedOn w:val="CitationCar"/>
    <w:link w:val="Intro"/>
    <w:rsid w:val="00654446"/>
    <w:rPr>
      <w:rFonts w:ascii="Verdana" w:hAnsi="Verdana"/>
      <w:i/>
      <w:iCs/>
      <w:szCs w:val="24"/>
    </w:rPr>
  </w:style>
  <w:style w:type="table" w:styleId="Grillemoyenne3-Accent3">
    <w:name w:val="Medium Grid 3 Accent 3"/>
    <w:basedOn w:val="TableauNormal"/>
    <w:uiPriority w:val="69"/>
    <w:rsid w:val="00B06E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re1Car">
    <w:name w:val="Titre 1 Car"/>
    <w:basedOn w:val="Policepardfaut"/>
    <w:link w:val="Titre1"/>
    <w:rsid w:val="00B56B37"/>
    <w:rPr>
      <w:rFonts w:ascii="Verdana" w:hAnsi="Verdana" w:cs="Arial"/>
      <w:b/>
      <w:bCs/>
      <w:caps/>
      <w:color w:val="A2BD30"/>
      <w:szCs w:val="24"/>
    </w:rPr>
  </w:style>
  <w:style w:type="table" w:styleId="Grillemoyenne2-Accent3">
    <w:name w:val="Medium Grid 2 Accent 3"/>
    <w:basedOn w:val="TableauNormal"/>
    <w:uiPriority w:val="68"/>
    <w:rsid w:val="00423E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rameclaire-Accent3">
    <w:name w:val="Light Shading Accent 3"/>
    <w:basedOn w:val="TableauNormal"/>
    <w:uiPriority w:val="60"/>
    <w:rsid w:val="006D047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6D04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nel-link">
    <w:name w:val="panel-link"/>
    <w:basedOn w:val="Normal"/>
    <w:rsid w:val="00097D55"/>
    <w:pPr>
      <w:spacing w:before="100" w:beforeAutospacing="1" w:after="100" w:afterAutospacing="1"/>
      <w:jc w:val="left"/>
    </w:pPr>
    <w:rPr>
      <w:rFonts w:ascii="Times New Roman" w:hAnsi="Times New Roman"/>
      <w:sz w:val="24"/>
    </w:rPr>
  </w:style>
  <w:style w:type="character" w:styleId="Mentionnonrsolue">
    <w:name w:val="Unresolved Mention"/>
    <w:basedOn w:val="Policepardfaut"/>
    <w:uiPriority w:val="99"/>
    <w:semiHidden/>
    <w:unhideWhenUsed/>
    <w:rsid w:val="0008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53">
      <w:bodyDiv w:val="1"/>
      <w:marLeft w:val="0"/>
      <w:marRight w:val="0"/>
      <w:marTop w:val="0"/>
      <w:marBottom w:val="0"/>
      <w:divBdr>
        <w:top w:val="none" w:sz="0" w:space="0" w:color="auto"/>
        <w:left w:val="none" w:sz="0" w:space="0" w:color="auto"/>
        <w:bottom w:val="none" w:sz="0" w:space="0" w:color="auto"/>
        <w:right w:val="none" w:sz="0" w:space="0" w:color="auto"/>
      </w:divBdr>
      <w:divsChild>
        <w:div w:id="1611275049">
          <w:marLeft w:val="0"/>
          <w:marRight w:val="0"/>
          <w:marTop w:val="0"/>
          <w:marBottom w:val="0"/>
          <w:divBdr>
            <w:top w:val="none" w:sz="0" w:space="0" w:color="auto"/>
            <w:left w:val="none" w:sz="0" w:space="0" w:color="auto"/>
            <w:bottom w:val="none" w:sz="0" w:space="0" w:color="auto"/>
            <w:right w:val="none" w:sz="0" w:space="0" w:color="auto"/>
          </w:divBdr>
          <w:divsChild>
            <w:div w:id="1104615084">
              <w:marLeft w:val="0"/>
              <w:marRight w:val="0"/>
              <w:marTop w:val="0"/>
              <w:marBottom w:val="0"/>
              <w:divBdr>
                <w:top w:val="none" w:sz="0" w:space="0" w:color="auto"/>
                <w:left w:val="none" w:sz="0" w:space="0" w:color="auto"/>
                <w:bottom w:val="none" w:sz="0" w:space="0" w:color="auto"/>
                <w:right w:val="none" w:sz="0" w:space="0" w:color="auto"/>
              </w:divBdr>
              <w:divsChild>
                <w:div w:id="41222679">
                  <w:marLeft w:val="0"/>
                  <w:marRight w:val="0"/>
                  <w:marTop w:val="0"/>
                  <w:marBottom w:val="0"/>
                  <w:divBdr>
                    <w:top w:val="none" w:sz="0" w:space="0" w:color="auto"/>
                    <w:left w:val="none" w:sz="0" w:space="0" w:color="auto"/>
                    <w:bottom w:val="none" w:sz="0" w:space="0" w:color="auto"/>
                    <w:right w:val="none" w:sz="0" w:space="0" w:color="auto"/>
                  </w:divBdr>
                  <w:divsChild>
                    <w:div w:id="14542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0012">
      <w:bodyDiv w:val="1"/>
      <w:marLeft w:val="0"/>
      <w:marRight w:val="0"/>
      <w:marTop w:val="0"/>
      <w:marBottom w:val="0"/>
      <w:divBdr>
        <w:top w:val="none" w:sz="0" w:space="0" w:color="auto"/>
        <w:left w:val="none" w:sz="0" w:space="0" w:color="auto"/>
        <w:bottom w:val="none" w:sz="0" w:space="0" w:color="auto"/>
        <w:right w:val="none" w:sz="0" w:space="0" w:color="auto"/>
      </w:divBdr>
    </w:div>
    <w:div w:id="666372184">
      <w:bodyDiv w:val="1"/>
      <w:marLeft w:val="0"/>
      <w:marRight w:val="0"/>
      <w:marTop w:val="0"/>
      <w:marBottom w:val="0"/>
      <w:divBdr>
        <w:top w:val="none" w:sz="0" w:space="0" w:color="auto"/>
        <w:left w:val="none" w:sz="0" w:space="0" w:color="auto"/>
        <w:bottom w:val="none" w:sz="0" w:space="0" w:color="auto"/>
        <w:right w:val="none" w:sz="0" w:space="0" w:color="auto"/>
      </w:divBdr>
      <w:divsChild>
        <w:div w:id="1723212703">
          <w:marLeft w:val="0"/>
          <w:marRight w:val="0"/>
          <w:marTop w:val="0"/>
          <w:marBottom w:val="0"/>
          <w:divBdr>
            <w:top w:val="none" w:sz="0" w:space="0" w:color="auto"/>
            <w:left w:val="none" w:sz="0" w:space="0" w:color="auto"/>
            <w:bottom w:val="none" w:sz="0" w:space="0" w:color="auto"/>
            <w:right w:val="none" w:sz="0" w:space="0" w:color="auto"/>
          </w:divBdr>
          <w:divsChild>
            <w:div w:id="1630668076">
              <w:marLeft w:val="0"/>
              <w:marRight w:val="0"/>
              <w:marTop w:val="0"/>
              <w:marBottom w:val="0"/>
              <w:divBdr>
                <w:top w:val="none" w:sz="0" w:space="0" w:color="auto"/>
                <w:left w:val="none" w:sz="0" w:space="0" w:color="auto"/>
                <w:bottom w:val="none" w:sz="0" w:space="0" w:color="auto"/>
                <w:right w:val="none" w:sz="0" w:space="0" w:color="auto"/>
              </w:divBdr>
              <w:divsChild>
                <w:div w:id="1512790829">
                  <w:marLeft w:val="0"/>
                  <w:marRight w:val="0"/>
                  <w:marTop w:val="0"/>
                  <w:marBottom w:val="0"/>
                  <w:divBdr>
                    <w:top w:val="none" w:sz="0" w:space="0" w:color="auto"/>
                    <w:left w:val="none" w:sz="0" w:space="0" w:color="auto"/>
                    <w:bottom w:val="none" w:sz="0" w:space="0" w:color="auto"/>
                    <w:right w:val="none" w:sz="0" w:space="0" w:color="auto"/>
                  </w:divBdr>
                  <w:divsChild>
                    <w:div w:id="15227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2894">
      <w:bodyDiv w:val="1"/>
      <w:marLeft w:val="0"/>
      <w:marRight w:val="0"/>
      <w:marTop w:val="0"/>
      <w:marBottom w:val="0"/>
      <w:divBdr>
        <w:top w:val="none" w:sz="0" w:space="0" w:color="auto"/>
        <w:left w:val="none" w:sz="0" w:space="0" w:color="auto"/>
        <w:bottom w:val="none" w:sz="0" w:space="0" w:color="auto"/>
        <w:right w:val="none" w:sz="0" w:space="0" w:color="auto"/>
      </w:divBdr>
      <w:divsChild>
        <w:div w:id="258564975">
          <w:marLeft w:val="0"/>
          <w:marRight w:val="0"/>
          <w:marTop w:val="105"/>
          <w:marBottom w:val="0"/>
          <w:divBdr>
            <w:top w:val="none" w:sz="0" w:space="0" w:color="auto"/>
            <w:left w:val="none" w:sz="0" w:space="0" w:color="auto"/>
            <w:bottom w:val="none" w:sz="0" w:space="0" w:color="auto"/>
            <w:right w:val="none" w:sz="0" w:space="0" w:color="auto"/>
          </w:divBdr>
          <w:divsChild>
            <w:div w:id="1195117986">
              <w:marLeft w:val="0"/>
              <w:marRight w:val="0"/>
              <w:marTop w:val="0"/>
              <w:marBottom w:val="0"/>
              <w:divBdr>
                <w:top w:val="none" w:sz="0" w:space="0" w:color="auto"/>
                <w:left w:val="none" w:sz="0" w:space="0" w:color="auto"/>
                <w:bottom w:val="none" w:sz="0" w:space="0" w:color="auto"/>
                <w:right w:val="none" w:sz="0" w:space="0" w:color="auto"/>
              </w:divBdr>
              <w:divsChild>
                <w:div w:id="624654299">
                  <w:marLeft w:val="0"/>
                  <w:marRight w:val="0"/>
                  <w:marTop w:val="0"/>
                  <w:marBottom w:val="0"/>
                  <w:divBdr>
                    <w:top w:val="none" w:sz="0" w:space="0" w:color="auto"/>
                    <w:left w:val="none" w:sz="0" w:space="0" w:color="auto"/>
                    <w:bottom w:val="none" w:sz="0" w:space="0" w:color="auto"/>
                    <w:right w:val="none" w:sz="0" w:space="0" w:color="auto"/>
                  </w:divBdr>
                  <w:divsChild>
                    <w:div w:id="1160118773">
                      <w:marLeft w:val="0"/>
                      <w:marRight w:val="0"/>
                      <w:marTop w:val="105"/>
                      <w:marBottom w:val="0"/>
                      <w:divBdr>
                        <w:top w:val="none" w:sz="0" w:space="0" w:color="auto"/>
                        <w:left w:val="none" w:sz="0" w:space="0" w:color="auto"/>
                        <w:bottom w:val="none" w:sz="0" w:space="0" w:color="auto"/>
                        <w:right w:val="none" w:sz="0" w:space="0" w:color="auto"/>
                      </w:divBdr>
                      <w:divsChild>
                        <w:div w:id="1308122480">
                          <w:marLeft w:val="0"/>
                          <w:marRight w:val="0"/>
                          <w:marTop w:val="0"/>
                          <w:marBottom w:val="0"/>
                          <w:divBdr>
                            <w:top w:val="none" w:sz="0" w:space="0" w:color="auto"/>
                            <w:left w:val="none" w:sz="0" w:space="0" w:color="auto"/>
                            <w:bottom w:val="none" w:sz="0" w:space="0" w:color="auto"/>
                            <w:right w:val="none" w:sz="0" w:space="0" w:color="auto"/>
                          </w:divBdr>
                          <w:divsChild>
                            <w:div w:id="2114668811">
                              <w:marLeft w:val="0"/>
                              <w:marRight w:val="0"/>
                              <w:marTop w:val="0"/>
                              <w:marBottom w:val="0"/>
                              <w:divBdr>
                                <w:top w:val="none" w:sz="0" w:space="0" w:color="auto"/>
                                <w:left w:val="none" w:sz="0" w:space="0" w:color="auto"/>
                                <w:bottom w:val="none" w:sz="0" w:space="0" w:color="auto"/>
                                <w:right w:val="none" w:sz="0" w:space="0" w:color="auto"/>
                              </w:divBdr>
                              <w:divsChild>
                                <w:div w:id="1636525146">
                                  <w:marLeft w:val="0"/>
                                  <w:marRight w:val="0"/>
                                  <w:marTop w:val="150"/>
                                  <w:marBottom w:val="0"/>
                                  <w:divBdr>
                                    <w:top w:val="none" w:sz="0" w:space="0" w:color="auto"/>
                                    <w:left w:val="none" w:sz="0" w:space="0" w:color="auto"/>
                                    <w:bottom w:val="none" w:sz="0" w:space="0" w:color="auto"/>
                                    <w:right w:val="none" w:sz="0" w:space="0" w:color="auto"/>
                                  </w:divBdr>
                                  <w:divsChild>
                                    <w:div w:id="792478247">
                                      <w:marLeft w:val="0"/>
                                      <w:marRight w:val="0"/>
                                      <w:marTop w:val="0"/>
                                      <w:marBottom w:val="0"/>
                                      <w:divBdr>
                                        <w:top w:val="none" w:sz="0" w:space="0" w:color="auto"/>
                                        <w:left w:val="none" w:sz="0" w:space="0" w:color="auto"/>
                                        <w:bottom w:val="none" w:sz="0" w:space="0" w:color="auto"/>
                                        <w:right w:val="none" w:sz="0" w:space="0" w:color="auto"/>
                                      </w:divBdr>
                                      <w:divsChild>
                                        <w:div w:id="872231337">
                                          <w:marLeft w:val="0"/>
                                          <w:marRight w:val="0"/>
                                          <w:marTop w:val="0"/>
                                          <w:marBottom w:val="0"/>
                                          <w:divBdr>
                                            <w:top w:val="none" w:sz="0" w:space="0" w:color="auto"/>
                                            <w:left w:val="none" w:sz="0" w:space="0" w:color="auto"/>
                                            <w:bottom w:val="none" w:sz="0" w:space="0" w:color="auto"/>
                                            <w:right w:val="none" w:sz="0" w:space="0" w:color="auto"/>
                                          </w:divBdr>
                                          <w:divsChild>
                                            <w:div w:id="536772184">
                                              <w:marLeft w:val="0"/>
                                              <w:marRight w:val="0"/>
                                              <w:marTop w:val="0"/>
                                              <w:marBottom w:val="0"/>
                                              <w:divBdr>
                                                <w:top w:val="none" w:sz="0" w:space="0" w:color="auto"/>
                                                <w:left w:val="none" w:sz="0" w:space="0" w:color="auto"/>
                                                <w:bottom w:val="none" w:sz="0" w:space="0" w:color="auto"/>
                                                <w:right w:val="none" w:sz="0" w:space="0" w:color="auto"/>
                                              </w:divBdr>
                                              <w:divsChild>
                                                <w:div w:id="336999238">
                                                  <w:marLeft w:val="0"/>
                                                  <w:marRight w:val="0"/>
                                                  <w:marTop w:val="0"/>
                                                  <w:marBottom w:val="0"/>
                                                  <w:divBdr>
                                                    <w:top w:val="none" w:sz="0" w:space="0" w:color="auto"/>
                                                    <w:left w:val="none" w:sz="0" w:space="0" w:color="auto"/>
                                                    <w:bottom w:val="none" w:sz="0" w:space="0" w:color="auto"/>
                                                    <w:right w:val="none" w:sz="0" w:space="0" w:color="auto"/>
                                                  </w:divBdr>
                                                  <w:divsChild>
                                                    <w:div w:id="558437094">
                                                      <w:marLeft w:val="0"/>
                                                      <w:marRight w:val="0"/>
                                                      <w:marTop w:val="0"/>
                                                      <w:marBottom w:val="0"/>
                                                      <w:divBdr>
                                                        <w:top w:val="none" w:sz="0" w:space="0" w:color="auto"/>
                                                        <w:left w:val="none" w:sz="0" w:space="0" w:color="auto"/>
                                                        <w:bottom w:val="none" w:sz="0" w:space="0" w:color="auto"/>
                                                        <w:right w:val="none" w:sz="0" w:space="0" w:color="auto"/>
                                                      </w:divBdr>
                                                      <w:divsChild>
                                                        <w:div w:id="107932978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0515">
      <w:bodyDiv w:val="1"/>
      <w:marLeft w:val="0"/>
      <w:marRight w:val="0"/>
      <w:marTop w:val="0"/>
      <w:marBottom w:val="0"/>
      <w:divBdr>
        <w:top w:val="none" w:sz="0" w:space="0" w:color="auto"/>
        <w:left w:val="none" w:sz="0" w:space="0" w:color="auto"/>
        <w:bottom w:val="none" w:sz="0" w:space="0" w:color="auto"/>
        <w:right w:val="none" w:sz="0" w:space="0" w:color="auto"/>
      </w:divBdr>
      <w:divsChild>
        <w:div w:id="1118992087">
          <w:marLeft w:val="0"/>
          <w:marRight w:val="0"/>
          <w:marTop w:val="0"/>
          <w:marBottom w:val="0"/>
          <w:divBdr>
            <w:top w:val="none" w:sz="0" w:space="0" w:color="auto"/>
            <w:left w:val="none" w:sz="0" w:space="0" w:color="auto"/>
            <w:bottom w:val="none" w:sz="0" w:space="0" w:color="auto"/>
            <w:right w:val="none" w:sz="0" w:space="0" w:color="auto"/>
          </w:divBdr>
          <w:divsChild>
            <w:div w:id="318122742">
              <w:marLeft w:val="0"/>
              <w:marRight w:val="0"/>
              <w:marTop w:val="0"/>
              <w:marBottom w:val="0"/>
              <w:divBdr>
                <w:top w:val="none" w:sz="0" w:space="0" w:color="auto"/>
                <w:left w:val="none" w:sz="0" w:space="0" w:color="auto"/>
                <w:bottom w:val="none" w:sz="0" w:space="0" w:color="auto"/>
                <w:right w:val="none" w:sz="0" w:space="0" w:color="auto"/>
              </w:divBdr>
              <w:divsChild>
                <w:div w:id="906383109">
                  <w:marLeft w:val="0"/>
                  <w:marRight w:val="0"/>
                  <w:marTop w:val="0"/>
                  <w:marBottom w:val="0"/>
                  <w:divBdr>
                    <w:top w:val="none" w:sz="0" w:space="0" w:color="auto"/>
                    <w:left w:val="none" w:sz="0" w:space="0" w:color="auto"/>
                    <w:bottom w:val="none" w:sz="0" w:space="0" w:color="auto"/>
                    <w:right w:val="none" w:sz="0" w:space="0" w:color="auto"/>
                  </w:divBdr>
                  <w:divsChild>
                    <w:div w:id="4409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5348">
      <w:bodyDiv w:val="1"/>
      <w:marLeft w:val="0"/>
      <w:marRight w:val="0"/>
      <w:marTop w:val="0"/>
      <w:marBottom w:val="0"/>
      <w:divBdr>
        <w:top w:val="none" w:sz="0" w:space="0" w:color="auto"/>
        <w:left w:val="none" w:sz="0" w:space="0" w:color="auto"/>
        <w:bottom w:val="none" w:sz="0" w:space="0" w:color="auto"/>
        <w:right w:val="none" w:sz="0" w:space="0" w:color="auto"/>
      </w:divBdr>
      <w:divsChild>
        <w:div w:id="43678073">
          <w:marLeft w:val="0"/>
          <w:marRight w:val="0"/>
          <w:marTop w:val="0"/>
          <w:marBottom w:val="0"/>
          <w:divBdr>
            <w:top w:val="none" w:sz="0" w:space="0" w:color="auto"/>
            <w:left w:val="none" w:sz="0" w:space="0" w:color="auto"/>
            <w:bottom w:val="none" w:sz="0" w:space="0" w:color="auto"/>
            <w:right w:val="none" w:sz="0" w:space="0" w:color="auto"/>
          </w:divBdr>
          <w:divsChild>
            <w:div w:id="1456176006">
              <w:marLeft w:val="0"/>
              <w:marRight w:val="0"/>
              <w:marTop w:val="0"/>
              <w:marBottom w:val="0"/>
              <w:divBdr>
                <w:top w:val="none" w:sz="0" w:space="0" w:color="auto"/>
                <w:left w:val="none" w:sz="0" w:space="0" w:color="auto"/>
                <w:bottom w:val="none" w:sz="0" w:space="0" w:color="auto"/>
                <w:right w:val="none" w:sz="0" w:space="0" w:color="auto"/>
              </w:divBdr>
              <w:divsChild>
                <w:div w:id="852189850">
                  <w:marLeft w:val="0"/>
                  <w:marRight w:val="0"/>
                  <w:marTop w:val="0"/>
                  <w:marBottom w:val="0"/>
                  <w:divBdr>
                    <w:top w:val="none" w:sz="0" w:space="0" w:color="auto"/>
                    <w:left w:val="none" w:sz="0" w:space="0" w:color="auto"/>
                    <w:bottom w:val="none" w:sz="0" w:space="0" w:color="auto"/>
                    <w:right w:val="none" w:sz="0" w:space="0" w:color="auto"/>
                  </w:divBdr>
                  <w:divsChild>
                    <w:div w:id="5067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0990">
      <w:bodyDiv w:val="1"/>
      <w:marLeft w:val="0"/>
      <w:marRight w:val="0"/>
      <w:marTop w:val="0"/>
      <w:marBottom w:val="0"/>
      <w:divBdr>
        <w:top w:val="none" w:sz="0" w:space="0" w:color="auto"/>
        <w:left w:val="none" w:sz="0" w:space="0" w:color="auto"/>
        <w:bottom w:val="none" w:sz="0" w:space="0" w:color="auto"/>
        <w:right w:val="none" w:sz="0" w:space="0" w:color="auto"/>
      </w:divBdr>
      <w:divsChild>
        <w:div w:id="1132286197">
          <w:marLeft w:val="0"/>
          <w:marRight w:val="0"/>
          <w:marTop w:val="105"/>
          <w:marBottom w:val="0"/>
          <w:divBdr>
            <w:top w:val="none" w:sz="0" w:space="0" w:color="auto"/>
            <w:left w:val="none" w:sz="0" w:space="0" w:color="auto"/>
            <w:bottom w:val="none" w:sz="0" w:space="0" w:color="auto"/>
            <w:right w:val="none" w:sz="0" w:space="0" w:color="auto"/>
          </w:divBdr>
          <w:divsChild>
            <w:div w:id="1092316203">
              <w:marLeft w:val="0"/>
              <w:marRight w:val="0"/>
              <w:marTop w:val="0"/>
              <w:marBottom w:val="0"/>
              <w:divBdr>
                <w:top w:val="none" w:sz="0" w:space="0" w:color="auto"/>
                <w:left w:val="none" w:sz="0" w:space="0" w:color="auto"/>
                <w:bottom w:val="none" w:sz="0" w:space="0" w:color="auto"/>
                <w:right w:val="none" w:sz="0" w:space="0" w:color="auto"/>
              </w:divBdr>
              <w:divsChild>
                <w:div w:id="553007863">
                  <w:marLeft w:val="0"/>
                  <w:marRight w:val="0"/>
                  <w:marTop w:val="0"/>
                  <w:marBottom w:val="0"/>
                  <w:divBdr>
                    <w:top w:val="none" w:sz="0" w:space="0" w:color="auto"/>
                    <w:left w:val="none" w:sz="0" w:space="0" w:color="auto"/>
                    <w:bottom w:val="none" w:sz="0" w:space="0" w:color="auto"/>
                    <w:right w:val="none" w:sz="0" w:space="0" w:color="auto"/>
                  </w:divBdr>
                  <w:divsChild>
                    <w:div w:id="1324046937">
                      <w:marLeft w:val="0"/>
                      <w:marRight w:val="0"/>
                      <w:marTop w:val="105"/>
                      <w:marBottom w:val="0"/>
                      <w:divBdr>
                        <w:top w:val="none" w:sz="0" w:space="0" w:color="auto"/>
                        <w:left w:val="none" w:sz="0" w:space="0" w:color="auto"/>
                        <w:bottom w:val="none" w:sz="0" w:space="0" w:color="auto"/>
                        <w:right w:val="none" w:sz="0" w:space="0" w:color="auto"/>
                      </w:divBdr>
                      <w:divsChild>
                        <w:div w:id="727189793">
                          <w:marLeft w:val="0"/>
                          <w:marRight w:val="0"/>
                          <w:marTop w:val="0"/>
                          <w:marBottom w:val="0"/>
                          <w:divBdr>
                            <w:top w:val="none" w:sz="0" w:space="0" w:color="auto"/>
                            <w:left w:val="none" w:sz="0" w:space="0" w:color="auto"/>
                            <w:bottom w:val="none" w:sz="0" w:space="0" w:color="auto"/>
                            <w:right w:val="none" w:sz="0" w:space="0" w:color="auto"/>
                          </w:divBdr>
                          <w:divsChild>
                            <w:div w:id="1545873398">
                              <w:marLeft w:val="0"/>
                              <w:marRight w:val="0"/>
                              <w:marTop w:val="0"/>
                              <w:marBottom w:val="0"/>
                              <w:divBdr>
                                <w:top w:val="none" w:sz="0" w:space="0" w:color="auto"/>
                                <w:left w:val="none" w:sz="0" w:space="0" w:color="auto"/>
                                <w:bottom w:val="none" w:sz="0" w:space="0" w:color="auto"/>
                                <w:right w:val="none" w:sz="0" w:space="0" w:color="auto"/>
                              </w:divBdr>
                              <w:divsChild>
                                <w:div w:id="1347250176">
                                  <w:marLeft w:val="0"/>
                                  <w:marRight w:val="0"/>
                                  <w:marTop w:val="150"/>
                                  <w:marBottom w:val="0"/>
                                  <w:divBdr>
                                    <w:top w:val="none" w:sz="0" w:space="0" w:color="auto"/>
                                    <w:left w:val="none" w:sz="0" w:space="0" w:color="auto"/>
                                    <w:bottom w:val="none" w:sz="0" w:space="0" w:color="auto"/>
                                    <w:right w:val="none" w:sz="0" w:space="0" w:color="auto"/>
                                  </w:divBdr>
                                  <w:divsChild>
                                    <w:div w:id="2010595164">
                                      <w:marLeft w:val="0"/>
                                      <w:marRight w:val="0"/>
                                      <w:marTop w:val="0"/>
                                      <w:marBottom w:val="0"/>
                                      <w:divBdr>
                                        <w:top w:val="none" w:sz="0" w:space="0" w:color="auto"/>
                                        <w:left w:val="none" w:sz="0" w:space="0" w:color="auto"/>
                                        <w:bottom w:val="none" w:sz="0" w:space="0" w:color="auto"/>
                                        <w:right w:val="none" w:sz="0" w:space="0" w:color="auto"/>
                                      </w:divBdr>
                                      <w:divsChild>
                                        <w:div w:id="981277264">
                                          <w:marLeft w:val="0"/>
                                          <w:marRight w:val="0"/>
                                          <w:marTop w:val="0"/>
                                          <w:marBottom w:val="0"/>
                                          <w:divBdr>
                                            <w:top w:val="none" w:sz="0" w:space="0" w:color="auto"/>
                                            <w:left w:val="none" w:sz="0" w:space="0" w:color="auto"/>
                                            <w:bottom w:val="none" w:sz="0" w:space="0" w:color="auto"/>
                                            <w:right w:val="none" w:sz="0" w:space="0" w:color="auto"/>
                                          </w:divBdr>
                                          <w:divsChild>
                                            <w:div w:id="1138650708">
                                              <w:marLeft w:val="0"/>
                                              <w:marRight w:val="0"/>
                                              <w:marTop w:val="0"/>
                                              <w:marBottom w:val="0"/>
                                              <w:divBdr>
                                                <w:top w:val="none" w:sz="0" w:space="0" w:color="auto"/>
                                                <w:left w:val="none" w:sz="0" w:space="0" w:color="auto"/>
                                                <w:bottom w:val="none" w:sz="0" w:space="0" w:color="auto"/>
                                                <w:right w:val="none" w:sz="0" w:space="0" w:color="auto"/>
                                              </w:divBdr>
                                              <w:divsChild>
                                                <w:div w:id="27528898">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0"/>
                                                      <w:divBdr>
                                                        <w:top w:val="none" w:sz="0" w:space="0" w:color="auto"/>
                                                        <w:left w:val="none" w:sz="0" w:space="0" w:color="auto"/>
                                                        <w:bottom w:val="none" w:sz="0" w:space="0" w:color="auto"/>
                                                        <w:right w:val="none" w:sz="0" w:space="0" w:color="auto"/>
                                                      </w:divBdr>
                                                      <w:divsChild>
                                                        <w:div w:id="19695849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3D742-1A28-4487-A575-AF2DEF85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TITRE</vt:lpstr>
    </vt:vector>
  </TitlesOfParts>
  <Company>Cdg61</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jackie</dc:creator>
  <cp:lastModifiedBy>Thomas LIMOSIN</cp:lastModifiedBy>
  <cp:revision>190</cp:revision>
  <cp:lastPrinted>2020-02-20T07:55:00Z</cp:lastPrinted>
  <dcterms:created xsi:type="dcterms:W3CDTF">2012-09-17T12:48:00Z</dcterms:created>
  <dcterms:modified xsi:type="dcterms:W3CDTF">2020-03-04T09:57:00Z</dcterms:modified>
</cp:coreProperties>
</file>